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C8732" w14:textId="77777777" w:rsidR="00171C68" w:rsidRDefault="00103522">
      <w:pPr>
        <w:jc w:val="center"/>
      </w:pPr>
      <w:r>
        <w:rPr>
          <w:rFonts w:ascii="Aptos Display" w:eastAsia="Aptos Display" w:hAnsi="Aptos Display"/>
          <w:b/>
          <w:color w:val="2E6F57"/>
          <w:sz w:val="24"/>
        </w:rPr>
        <w:t>Prescriber Information</w:t>
      </w:r>
    </w:p>
    <w:p w14:paraId="418B6972" w14:textId="15D66095" w:rsidR="00171C68" w:rsidRDefault="00103522">
      <w:pPr>
        <w:pStyle w:val="Title"/>
        <w:jc w:val="center"/>
      </w:pPr>
      <w:r>
        <w:t xml:space="preserve">Clobetasol Propionate 0.05% </w:t>
      </w:r>
      <w:r>
        <w:t>Ointment</w:t>
      </w:r>
    </w:p>
    <w:tbl>
      <w:tblPr>
        <w:tblW w:w="0" w:type="auto"/>
        <w:jc w:val="center"/>
        <w:tblLook w:val="04A0" w:firstRow="1" w:lastRow="0" w:firstColumn="1" w:lastColumn="0" w:noHBand="0" w:noVBand="1"/>
      </w:tblPr>
      <w:tblGrid>
        <w:gridCol w:w="10146"/>
      </w:tblGrid>
      <w:tr w:rsidR="00171C68" w14:paraId="44B4E40F" w14:textId="77777777">
        <w:trPr>
          <w:jc w:val="center"/>
        </w:trPr>
        <w:tc>
          <w:tcPr>
            <w:tcW w:w="10166" w:type="dxa"/>
            <w:tcBorders>
              <w:top w:val="single" w:sz="8" w:space="0" w:color="B7D3C6"/>
              <w:left w:val="single" w:sz="8" w:space="0" w:color="B7D3C6"/>
              <w:bottom w:val="single" w:sz="8" w:space="0" w:color="B7D3C6"/>
              <w:right w:val="single" w:sz="8" w:space="0" w:color="B7D3C6"/>
            </w:tcBorders>
            <w:shd w:val="clear" w:color="auto" w:fill="F2F7F4"/>
            <w:vAlign w:val="center"/>
          </w:tcPr>
          <w:p w14:paraId="22C39842" w14:textId="77777777" w:rsidR="00171C68" w:rsidRDefault="00103522">
            <w:pPr>
              <w:spacing w:after="0"/>
            </w:pPr>
            <w:r>
              <w:rPr>
                <w:b/>
                <w:color w:val="2E6F57"/>
                <w:sz w:val="19"/>
              </w:rPr>
              <w:t>Healthcare professional information only</w:t>
            </w:r>
          </w:p>
        </w:tc>
      </w:tr>
    </w:tbl>
    <w:p w14:paraId="6A9DE33F" w14:textId="77777777" w:rsidR="00171C68" w:rsidRDefault="00103522">
      <w:r>
        <w:rPr>
          <w:b/>
        </w:rPr>
        <w:t>Clobetasol propionate 0.05%</w:t>
      </w:r>
      <w:r>
        <w:t xml:space="preserve"> is a very potent / super-potent topical corticosteroid used for selected patients with severe, localised, steroid-responsive inflammatory skin disease, particularly where lower-potency topical corticosteroids have been inadequate or unsuitable.</w:t>
      </w:r>
    </w:p>
    <w:p w14:paraId="4623D2E2" w14:textId="77777777" w:rsidR="00171C68" w:rsidRDefault="00103522">
      <w:r>
        <w:rPr>
          <w:b/>
        </w:rPr>
        <w:t xml:space="preserve">Important distinction: </w:t>
      </w:r>
      <w:r>
        <w:t xml:space="preserve">Clobetasol propionate should not be confused with </w:t>
      </w:r>
      <w:r>
        <w:rPr>
          <w:b/>
        </w:rPr>
        <w:t>Eumovate® cream</w:t>
      </w:r>
      <w:r>
        <w:t>, which contains clobetasone butyrate 0.05%. Although the names are similar, they are different corticosteroids with different potency. Clobetasone butyrate is generally considered a moderate-potency topical corticosteroid, whereas clobetasol propionate is very potent.</w:t>
      </w:r>
    </w:p>
    <w:p w14:paraId="675E10A0" w14:textId="77777777" w:rsidR="00171C68" w:rsidRDefault="00171C68">
      <w:pPr>
        <w:pBdr>
          <w:bottom w:val="single" w:sz="6" w:space="1" w:color="D9E5DF"/>
        </w:pBdr>
        <w:spacing w:before="40" w:after="120"/>
      </w:pPr>
    </w:p>
    <w:p w14:paraId="1EB0B2E1" w14:textId="77777777" w:rsidR="00171C68" w:rsidRDefault="00103522">
      <w:pPr>
        <w:pStyle w:val="Heading1"/>
      </w:pPr>
      <w:r>
        <w:t>Suggested Compounding Option</w:t>
      </w:r>
    </w:p>
    <w:tbl>
      <w:tblPr>
        <w:tblStyle w:val="TableGrid"/>
        <w:tblW w:w="0" w:type="auto"/>
        <w:jc w:val="center"/>
        <w:tblLook w:val="04A0" w:firstRow="1" w:lastRow="0" w:firstColumn="1" w:lastColumn="0" w:noHBand="0" w:noVBand="1"/>
      </w:tblPr>
      <w:tblGrid>
        <w:gridCol w:w="2484"/>
        <w:gridCol w:w="7672"/>
      </w:tblGrid>
      <w:tr w:rsidR="00171C68" w14:paraId="38A0BFC7" w14:textId="77777777">
        <w:trPr>
          <w:jc w:val="center"/>
        </w:trPr>
        <w:tc>
          <w:tcPr>
            <w:tcW w:w="2520" w:type="dxa"/>
            <w:shd w:val="clear" w:color="auto" w:fill="E8F1EC"/>
          </w:tcPr>
          <w:p w14:paraId="7BCB12AA" w14:textId="77777777" w:rsidR="00171C68" w:rsidRDefault="00103522">
            <w:pPr>
              <w:spacing w:after="0"/>
            </w:pPr>
            <w:r>
              <w:rPr>
                <w:b/>
                <w:color w:val="1F4E5F"/>
                <w:sz w:val="19"/>
              </w:rPr>
              <w:t>Formula</w:t>
            </w:r>
          </w:p>
        </w:tc>
        <w:tc>
          <w:tcPr>
            <w:tcW w:w="7848" w:type="dxa"/>
          </w:tcPr>
          <w:p w14:paraId="3897F50D" w14:textId="5C43FA56" w:rsidR="00171C68" w:rsidRDefault="00103522">
            <w:pPr>
              <w:spacing w:after="0"/>
            </w:pPr>
            <w:r>
              <w:rPr>
                <w:sz w:val="19"/>
              </w:rPr>
              <w:t xml:space="preserve">Clobetasol propionate 0.05% </w:t>
            </w:r>
            <w:r>
              <w:rPr>
                <w:sz w:val="19"/>
              </w:rPr>
              <w:t>ointment</w:t>
            </w:r>
          </w:p>
        </w:tc>
      </w:tr>
      <w:tr w:rsidR="00171C68" w14:paraId="60C01A1A" w14:textId="77777777">
        <w:trPr>
          <w:jc w:val="center"/>
        </w:trPr>
        <w:tc>
          <w:tcPr>
            <w:tcW w:w="2520" w:type="dxa"/>
            <w:shd w:val="clear" w:color="auto" w:fill="E8F1EC"/>
          </w:tcPr>
          <w:p w14:paraId="09E9F6C9" w14:textId="77777777" w:rsidR="00171C68" w:rsidRDefault="00103522">
            <w:pPr>
              <w:spacing w:after="0"/>
            </w:pPr>
            <w:r>
              <w:rPr>
                <w:b/>
                <w:color w:val="1F4E5F"/>
                <w:sz w:val="19"/>
              </w:rPr>
              <w:t>Suggested quantity</w:t>
            </w:r>
          </w:p>
        </w:tc>
        <w:tc>
          <w:tcPr>
            <w:tcW w:w="7848" w:type="dxa"/>
          </w:tcPr>
          <w:p w14:paraId="6FAD270D" w14:textId="77777777" w:rsidR="00171C68" w:rsidRDefault="00103522">
            <w:pPr>
              <w:spacing w:after="0"/>
            </w:pPr>
            <w:r>
              <w:rPr>
                <w:sz w:val="19"/>
              </w:rPr>
              <w:t>30 g to 50 g</w:t>
            </w:r>
          </w:p>
        </w:tc>
      </w:tr>
      <w:tr w:rsidR="00171C68" w14:paraId="6F71FEE3" w14:textId="77777777">
        <w:trPr>
          <w:jc w:val="center"/>
        </w:trPr>
        <w:tc>
          <w:tcPr>
            <w:tcW w:w="2520" w:type="dxa"/>
            <w:shd w:val="clear" w:color="auto" w:fill="E8F1EC"/>
          </w:tcPr>
          <w:p w14:paraId="44B6455D" w14:textId="77777777" w:rsidR="00171C68" w:rsidRDefault="00103522">
            <w:pPr>
              <w:spacing w:after="0"/>
            </w:pPr>
            <w:r>
              <w:rPr>
                <w:b/>
                <w:color w:val="1F4E5F"/>
                <w:sz w:val="19"/>
              </w:rPr>
              <w:t>Suggested directions</w:t>
            </w:r>
          </w:p>
        </w:tc>
        <w:tc>
          <w:tcPr>
            <w:tcW w:w="7848" w:type="dxa"/>
          </w:tcPr>
          <w:p w14:paraId="1F8FEC89" w14:textId="77777777" w:rsidR="00171C68" w:rsidRDefault="00103522">
            <w:pPr>
              <w:spacing w:after="0"/>
            </w:pPr>
            <w:r>
              <w:rPr>
                <w:sz w:val="19"/>
              </w:rPr>
              <w:t xml:space="preserve">Apply thinly to </w:t>
            </w:r>
            <w:r>
              <w:rPr>
                <w:sz w:val="19"/>
              </w:rPr>
              <w:t>affected area once or twice daily for 1-2 weeks, then review.</w:t>
            </w:r>
          </w:p>
        </w:tc>
      </w:tr>
      <w:tr w:rsidR="00171C68" w14:paraId="19E53C85" w14:textId="77777777">
        <w:trPr>
          <w:jc w:val="center"/>
        </w:trPr>
        <w:tc>
          <w:tcPr>
            <w:tcW w:w="2520" w:type="dxa"/>
            <w:shd w:val="clear" w:color="auto" w:fill="E8F1EC"/>
          </w:tcPr>
          <w:p w14:paraId="034C305F" w14:textId="77777777" w:rsidR="00171C68" w:rsidRDefault="00103522">
            <w:pPr>
              <w:spacing w:after="0"/>
            </w:pPr>
            <w:r>
              <w:rPr>
                <w:b/>
                <w:color w:val="1F4E5F"/>
                <w:sz w:val="19"/>
              </w:rPr>
              <w:t>Prescriber review</w:t>
            </w:r>
          </w:p>
        </w:tc>
        <w:tc>
          <w:tcPr>
            <w:tcW w:w="7848" w:type="dxa"/>
          </w:tcPr>
          <w:p w14:paraId="1CE86130" w14:textId="77777777" w:rsidR="00171C68" w:rsidRDefault="00103522">
            <w:pPr>
              <w:spacing w:after="0"/>
            </w:pPr>
            <w:r>
              <w:rPr>
                <w:sz w:val="19"/>
              </w:rPr>
              <w:t>Longer courses or use on sensitive body sites should be prescriber- or specialist-directed.</w:t>
            </w:r>
          </w:p>
        </w:tc>
      </w:tr>
    </w:tbl>
    <w:p w14:paraId="0A4F68C7" w14:textId="77777777" w:rsidR="00171C68" w:rsidRDefault="00171C68">
      <w:pPr>
        <w:pBdr>
          <w:bottom w:val="single" w:sz="6" w:space="1" w:color="D9E5DF"/>
        </w:pBdr>
        <w:spacing w:before="40" w:after="120"/>
      </w:pPr>
    </w:p>
    <w:p w14:paraId="23733F16" w14:textId="77777777" w:rsidR="00171C68" w:rsidRDefault="00103522">
      <w:pPr>
        <w:pStyle w:val="Heading1"/>
      </w:pPr>
      <w:r>
        <w:t>Potential Clinical Applications</w:t>
      </w:r>
    </w:p>
    <w:tbl>
      <w:tblPr>
        <w:tblStyle w:val="TableGrid"/>
        <w:tblW w:w="0" w:type="auto"/>
        <w:jc w:val="center"/>
        <w:tblLook w:val="04A0" w:firstRow="1" w:lastRow="0" w:firstColumn="1" w:lastColumn="0" w:noHBand="0" w:noVBand="1"/>
      </w:tblPr>
      <w:tblGrid>
        <w:gridCol w:w="5078"/>
        <w:gridCol w:w="5078"/>
      </w:tblGrid>
      <w:tr w:rsidR="00171C68" w14:paraId="6B2140B4" w14:textId="77777777">
        <w:trPr>
          <w:jc w:val="center"/>
        </w:trPr>
        <w:tc>
          <w:tcPr>
            <w:tcW w:w="5083" w:type="dxa"/>
            <w:shd w:val="clear" w:color="auto" w:fill="1F4E5F"/>
          </w:tcPr>
          <w:p w14:paraId="1747E997" w14:textId="77777777" w:rsidR="00171C68" w:rsidRDefault="00103522">
            <w:pPr>
              <w:spacing w:after="0"/>
            </w:pPr>
            <w:r>
              <w:rPr>
                <w:b/>
                <w:color w:val="FFFFFF"/>
                <w:sz w:val="19"/>
              </w:rPr>
              <w:t>Condition</w:t>
            </w:r>
          </w:p>
        </w:tc>
        <w:tc>
          <w:tcPr>
            <w:tcW w:w="5083" w:type="dxa"/>
            <w:shd w:val="clear" w:color="auto" w:fill="1F4E5F"/>
          </w:tcPr>
          <w:p w14:paraId="3CD8FAFB" w14:textId="77777777" w:rsidR="00171C68" w:rsidRDefault="00103522">
            <w:pPr>
              <w:spacing w:after="0"/>
            </w:pPr>
            <w:r>
              <w:rPr>
                <w:b/>
                <w:color w:val="FFFFFF"/>
                <w:sz w:val="19"/>
              </w:rPr>
              <w:t>When clobetasol propionate 0.05% may be considered</w:t>
            </w:r>
          </w:p>
        </w:tc>
      </w:tr>
      <w:tr w:rsidR="00171C68" w14:paraId="78BE7227" w14:textId="77777777">
        <w:trPr>
          <w:jc w:val="center"/>
        </w:trPr>
        <w:tc>
          <w:tcPr>
            <w:tcW w:w="5083" w:type="dxa"/>
          </w:tcPr>
          <w:p w14:paraId="75BC2B34" w14:textId="77777777" w:rsidR="00171C68" w:rsidRDefault="00103522">
            <w:pPr>
              <w:spacing w:after="0"/>
            </w:pPr>
            <w:r>
              <w:rPr>
                <w:b/>
                <w:color w:val="1F4E5F"/>
                <w:sz w:val="19"/>
              </w:rPr>
              <w:t>Severe eczema / dermatitis flare</w:t>
            </w:r>
          </w:p>
        </w:tc>
        <w:tc>
          <w:tcPr>
            <w:tcW w:w="5083" w:type="dxa"/>
          </w:tcPr>
          <w:p w14:paraId="4ED266CC" w14:textId="77777777" w:rsidR="00171C68" w:rsidRDefault="00103522">
            <w:pPr>
              <w:spacing w:after="0"/>
            </w:pPr>
            <w:r>
              <w:rPr>
                <w:sz w:val="19"/>
              </w:rPr>
              <w:t>When inflammation is significant and milder topical corticosteroids have been inadequate.</w:t>
            </w:r>
          </w:p>
        </w:tc>
      </w:tr>
      <w:tr w:rsidR="00171C68" w14:paraId="1179A001" w14:textId="77777777">
        <w:trPr>
          <w:jc w:val="center"/>
        </w:trPr>
        <w:tc>
          <w:tcPr>
            <w:tcW w:w="5083" w:type="dxa"/>
            <w:shd w:val="clear" w:color="auto" w:fill="F7FAF8"/>
          </w:tcPr>
          <w:p w14:paraId="3D2E3E66" w14:textId="77777777" w:rsidR="00171C68" w:rsidRDefault="00103522">
            <w:pPr>
              <w:spacing w:after="0"/>
            </w:pPr>
            <w:r>
              <w:rPr>
                <w:b/>
                <w:color w:val="1F4E5F"/>
                <w:sz w:val="19"/>
              </w:rPr>
              <w:t>Thick psoriasis plaques</w:t>
            </w:r>
          </w:p>
        </w:tc>
        <w:tc>
          <w:tcPr>
            <w:tcW w:w="5083" w:type="dxa"/>
            <w:shd w:val="clear" w:color="auto" w:fill="F7FAF8"/>
          </w:tcPr>
          <w:p w14:paraId="321CAF30" w14:textId="77777777" w:rsidR="00171C68" w:rsidRDefault="00103522">
            <w:pPr>
              <w:spacing w:after="0"/>
            </w:pPr>
            <w:r>
              <w:rPr>
                <w:sz w:val="19"/>
              </w:rPr>
              <w:t>Especially localised plaques on limbs, trunk, elbows, knees, hands or feet.</w:t>
            </w:r>
          </w:p>
        </w:tc>
      </w:tr>
      <w:tr w:rsidR="00171C68" w14:paraId="4594FFA7" w14:textId="77777777">
        <w:trPr>
          <w:jc w:val="center"/>
        </w:trPr>
        <w:tc>
          <w:tcPr>
            <w:tcW w:w="5083" w:type="dxa"/>
          </w:tcPr>
          <w:p w14:paraId="01FBF87F" w14:textId="77777777" w:rsidR="00171C68" w:rsidRDefault="00103522">
            <w:pPr>
              <w:spacing w:after="0"/>
            </w:pPr>
            <w:r>
              <w:rPr>
                <w:b/>
                <w:color w:val="1F4E5F"/>
                <w:sz w:val="19"/>
              </w:rPr>
              <w:t>Palmoplantar eczema or psoriasis</w:t>
            </w:r>
          </w:p>
        </w:tc>
        <w:tc>
          <w:tcPr>
            <w:tcW w:w="5083" w:type="dxa"/>
          </w:tcPr>
          <w:p w14:paraId="3A78C11B" w14:textId="77777777" w:rsidR="00171C68" w:rsidRDefault="00103522">
            <w:pPr>
              <w:spacing w:after="0"/>
            </w:pPr>
            <w:r>
              <w:rPr>
                <w:sz w:val="19"/>
              </w:rPr>
              <w:t>Palms and soles may require higher potency due to thicker skin.</w:t>
            </w:r>
          </w:p>
        </w:tc>
      </w:tr>
      <w:tr w:rsidR="00171C68" w14:paraId="4D7E6D2B" w14:textId="77777777">
        <w:trPr>
          <w:jc w:val="center"/>
        </w:trPr>
        <w:tc>
          <w:tcPr>
            <w:tcW w:w="5083" w:type="dxa"/>
            <w:shd w:val="clear" w:color="auto" w:fill="F7FAF8"/>
          </w:tcPr>
          <w:p w14:paraId="00208828" w14:textId="77777777" w:rsidR="00171C68" w:rsidRDefault="00103522">
            <w:pPr>
              <w:spacing w:after="0"/>
            </w:pPr>
            <w:r>
              <w:rPr>
                <w:b/>
                <w:color w:val="1F4E5F"/>
                <w:sz w:val="19"/>
              </w:rPr>
              <w:t>Lichen simplex chronicus</w:t>
            </w:r>
          </w:p>
        </w:tc>
        <w:tc>
          <w:tcPr>
            <w:tcW w:w="5083" w:type="dxa"/>
            <w:shd w:val="clear" w:color="auto" w:fill="F7FAF8"/>
          </w:tcPr>
          <w:p w14:paraId="7B141BE0" w14:textId="77777777" w:rsidR="00171C68" w:rsidRDefault="00103522">
            <w:pPr>
              <w:spacing w:after="0"/>
            </w:pPr>
            <w:r>
              <w:rPr>
                <w:sz w:val="19"/>
              </w:rPr>
              <w:t>Thickened, lichenified, itchy skin due to chronic scratching.</w:t>
            </w:r>
          </w:p>
        </w:tc>
      </w:tr>
      <w:tr w:rsidR="00171C68" w14:paraId="6C3F3573" w14:textId="77777777">
        <w:trPr>
          <w:jc w:val="center"/>
        </w:trPr>
        <w:tc>
          <w:tcPr>
            <w:tcW w:w="5083" w:type="dxa"/>
          </w:tcPr>
          <w:p w14:paraId="062ED82D" w14:textId="77777777" w:rsidR="00171C68" w:rsidRDefault="00103522">
            <w:pPr>
              <w:spacing w:after="0"/>
            </w:pPr>
            <w:r>
              <w:rPr>
                <w:b/>
                <w:color w:val="1F4E5F"/>
                <w:sz w:val="19"/>
              </w:rPr>
              <w:t>Lichen planus</w:t>
            </w:r>
          </w:p>
        </w:tc>
        <w:tc>
          <w:tcPr>
            <w:tcW w:w="5083" w:type="dxa"/>
          </w:tcPr>
          <w:p w14:paraId="4E27E9BF" w14:textId="77777777" w:rsidR="00171C68" w:rsidRDefault="00103522">
            <w:pPr>
              <w:spacing w:after="0"/>
            </w:pPr>
            <w:r>
              <w:rPr>
                <w:sz w:val="19"/>
              </w:rPr>
              <w:t>Selected inflammatory lesions, often prescriber- or specialist-directed.</w:t>
            </w:r>
          </w:p>
        </w:tc>
      </w:tr>
      <w:tr w:rsidR="00171C68" w14:paraId="633D4197" w14:textId="77777777">
        <w:trPr>
          <w:jc w:val="center"/>
        </w:trPr>
        <w:tc>
          <w:tcPr>
            <w:tcW w:w="5083" w:type="dxa"/>
            <w:shd w:val="clear" w:color="auto" w:fill="F7FAF8"/>
          </w:tcPr>
          <w:p w14:paraId="4FF280A7" w14:textId="77777777" w:rsidR="00171C68" w:rsidRDefault="00103522">
            <w:pPr>
              <w:spacing w:after="0"/>
            </w:pPr>
            <w:r>
              <w:rPr>
                <w:b/>
                <w:color w:val="1F4E5F"/>
                <w:sz w:val="19"/>
              </w:rPr>
              <w:t>Lichen sclerosus</w:t>
            </w:r>
          </w:p>
        </w:tc>
        <w:tc>
          <w:tcPr>
            <w:tcW w:w="5083" w:type="dxa"/>
            <w:shd w:val="clear" w:color="auto" w:fill="F7FAF8"/>
          </w:tcPr>
          <w:p w14:paraId="253E5485" w14:textId="77777777" w:rsidR="00171C68" w:rsidRDefault="00103522">
            <w:pPr>
              <w:spacing w:after="0"/>
            </w:pPr>
            <w:r>
              <w:rPr>
                <w:sz w:val="19"/>
              </w:rPr>
              <w:t>Often specialist-directed; clobetasol propionate 0.05% is commonly used as an ultrapotent topical corticosteroid option.</w:t>
            </w:r>
          </w:p>
        </w:tc>
      </w:tr>
      <w:tr w:rsidR="00171C68" w14:paraId="7DCECBCA" w14:textId="77777777">
        <w:trPr>
          <w:jc w:val="center"/>
        </w:trPr>
        <w:tc>
          <w:tcPr>
            <w:tcW w:w="5083" w:type="dxa"/>
          </w:tcPr>
          <w:p w14:paraId="400A1E70" w14:textId="77777777" w:rsidR="00171C68" w:rsidRDefault="00103522">
            <w:pPr>
              <w:spacing w:after="0"/>
            </w:pPr>
            <w:r>
              <w:rPr>
                <w:b/>
                <w:color w:val="1F4E5F"/>
                <w:sz w:val="19"/>
              </w:rPr>
              <w:t>Discoid lupus erythematosus</w:t>
            </w:r>
          </w:p>
        </w:tc>
        <w:tc>
          <w:tcPr>
            <w:tcW w:w="5083" w:type="dxa"/>
          </w:tcPr>
          <w:p w14:paraId="5F3E8DB2" w14:textId="77777777" w:rsidR="00171C68" w:rsidRDefault="00103522">
            <w:pPr>
              <w:spacing w:after="0"/>
            </w:pPr>
            <w:r>
              <w:rPr>
                <w:sz w:val="19"/>
              </w:rPr>
              <w:t>Localised disease, usually specialist-directed.</w:t>
            </w:r>
          </w:p>
        </w:tc>
      </w:tr>
    </w:tbl>
    <w:p w14:paraId="016CF454" w14:textId="77777777" w:rsidR="00171C68" w:rsidRDefault="00171C68">
      <w:pPr>
        <w:pBdr>
          <w:bottom w:val="single" w:sz="6" w:space="1" w:color="D9E5DF"/>
        </w:pBdr>
        <w:spacing w:before="40" w:after="120"/>
      </w:pPr>
    </w:p>
    <w:p w14:paraId="09439D30" w14:textId="77777777" w:rsidR="00171C68" w:rsidRDefault="00171C68">
      <w:pPr>
        <w:pBdr>
          <w:bottom w:val="single" w:sz="6" w:space="1" w:color="D9E5DF"/>
        </w:pBdr>
        <w:spacing w:before="40" w:after="120"/>
      </w:pPr>
    </w:p>
    <w:p w14:paraId="01F1EE38" w14:textId="77777777" w:rsidR="00171C68" w:rsidRDefault="00103522">
      <w:pPr>
        <w:pStyle w:val="Heading1"/>
      </w:pPr>
      <w:r>
        <w:t>Important Prescribing Notes</w:t>
      </w:r>
    </w:p>
    <w:p w14:paraId="394C7B2A" w14:textId="77777777" w:rsidR="00171C68" w:rsidRDefault="00103522">
      <w:pPr>
        <w:pStyle w:val="ListBullet"/>
        <w:spacing w:after="20" w:line="240" w:lineRule="auto"/>
      </w:pPr>
      <w:r>
        <w:rPr>
          <w:sz w:val="19"/>
        </w:rPr>
        <w:t>Clobetasol propionate 0.05% is generally intended for short-term use and should not be used as a routine mild eczema preparation.</w:t>
      </w:r>
    </w:p>
    <w:p w14:paraId="461DC32A" w14:textId="77777777" w:rsidR="00171C68" w:rsidRDefault="00103522">
      <w:pPr>
        <w:pStyle w:val="ListBullet"/>
        <w:spacing w:after="20" w:line="240" w:lineRule="auto"/>
      </w:pPr>
      <w:r>
        <w:rPr>
          <w:sz w:val="19"/>
        </w:rPr>
        <w:t>Avoid routine or prolonged use on the face, eyelids, groin, axillae, skin folds, large surface areas, or in children, unless specifically directed by the prescriber or specialist.</w:t>
      </w:r>
    </w:p>
    <w:p w14:paraId="7ED508FB" w14:textId="77777777" w:rsidR="00171C68" w:rsidRDefault="00103522">
      <w:pPr>
        <w:pStyle w:val="ListBullet"/>
        <w:spacing w:after="20" w:line="240" w:lineRule="auto"/>
      </w:pPr>
      <w:r>
        <w:rPr>
          <w:sz w:val="19"/>
        </w:rPr>
        <w:t>Use with caution where there is suspected or untreated bacterial, fungal or viral infection, as topical corticosteroids may mask or worsen infection if not appropriately managed.</w:t>
      </w:r>
    </w:p>
    <w:p w14:paraId="4DC68682" w14:textId="77777777" w:rsidR="00171C68" w:rsidRDefault="00103522">
      <w:pPr>
        <w:pStyle w:val="ListBullet"/>
        <w:spacing w:after="20" w:line="240" w:lineRule="auto"/>
      </w:pPr>
      <w:r>
        <w:rPr>
          <w:sz w:val="19"/>
        </w:rPr>
        <w:t>Potential adverse effects with inappropriate or prolonged use include skin atrophy, striae, telangiectasia, perioral dermatitis, steroid rosacea, delayed wound healing, rebound flare, and, with extensive or occluded use, possible systemic corticosteroid effects.</w:t>
      </w:r>
    </w:p>
    <w:p w14:paraId="542316D9" w14:textId="77777777" w:rsidR="00171C68" w:rsidRDefault="00103522">
      <w:pPr>
        <w:pStyle w:val="ListBullet"/>
        <w:spacing w:after="20" w:line="240" w:lineRule="auto"/>
      </w:pPr>
      <w:r>
        <w:rPr>
          <w:sz w:val="19"/>
        </w:rPr>
        <w:t>Prescriber review is recommended if symptoms persist, worsen, recur frequently, or if the diagnosis is uncertain.</w:t>
      </w:r>
    </w:p>
    <w:p w14:paraId="613052B4" w14:textId="77777777" w:rsidR="00171C68" w:rsidRDefault="00171C68">
      <w:pPr>
        <w:pBdr>
          <w:bottom w:val="single" w:sz="6" w:space="1" w:color="D9E5DF"/>
        </w:pBdr>
        <w:spacing w:before="40" w:after="120"/>
      </w:pPr>
    </w:p>
    <w:p w14:paraId="15E1B55C" w14:textId="77777777" w:rsidR="00171C68" w:rsidRDefault="00103522">
      <w:pPr>
        <w:pStyle w:val="Heading1"/>
      </w:pPr>
      <w:r>
        <w:t>Clinical References</w:t>
      </w:r>
    </w:p>
    <w:p w14:paraId="0EF74877" w14:textId="77777777" w:rsidR="00171C68" w:rsidRDefault="00103522">
      <w:pPr>
        <w:spacing w:after="24" w:line="240" w:lineRule="auto"/>
        <w:ind w:left="317" w:hanging="317"/>
      </w:pPr>
      <w:r>
        <w:rPr>
          <w:b/>
          <w:sz w:val="17"/>
        </w:rPr>
        <w:t xml:space="preserve">1. DermNet NZ. Topical steroid. </w:t>
      </w:r>
      <w:r>
        <w:rPr>
          <w:sz w:val="17"/>
        </w:rPr>
        <w:t xml:space="preserve">Describes topical corticosteroids as anti-inflammatory preparations used to control eczema/dermatitis and many other inflammatory skin conditions. </w:t>
      </w:r>
      <w:r>
        <w:rPr>
          <w:color w:val="0563C1"/>
          <w:sz w:val="17"/>
          <w:u w:val="single"/>
        </w:rPr>
        <w:t>https://dermnetnz.org/topics/topical-steroid</w:t>
      </w:r>
    </w:p>
    <w:p w14:paraId="3FA3BFFE" w14:textId="77777777" w:rsidR="00171C68" w:rsidRDefault="00103522">
      <w:pPr>
        <w:spacing w:after="24" w:line="240" w:lineRule="auto"/>
        <w:ind w:left="317" w:hanging="317"/>
      </w:pPr>
      <w:r>
        <w:rPr>
          <w:b/>
          <w:sz w:val="17"/>
        </w:rPr>
        <w:t xml:space="preserve">2. DermNet NZ. Lichen sclerosus. </w:t>
      </w:r>
      <w:r>
        <w:rPr>
          <w:sz w:val="17"/>
        </w:rPr>
        <w:t xml:space="preserve">Notes topical steroids are the primary treatment for lichen sclerosus and that an ultrapotent topical steroid such as clobetasol propionate 0.05% is often prescribed. </w:t>
      </w:r>
      <w:r>
        <w:rPr>
          <w:color w:val="0563C1"/>
          <w:sz w:val="17"/>
          <w:u w:val="single"/>
        </w:rPr>
        <w:t>https://dermnetnz.org/topics/lichen-sclerosus</w:t>
      </w:r>
    </w:p>
    <w:p w14:paraId="0809470C" w14:textId="77777777" w:rsidR="00171C68" w:rsidRDefault="00103522">
      <w:pPr>
        <w:spacing w:after="24" w:line="240" w:lineRule="auto"/>
        <w:ind w:left="317" w:hanging="317"/>
      </w:pPr>
      <w:r>
        <w:rPr>
          <w:b/>
          <w:sz w:val="17"/>
        </w:rPr>
        <w:t xml:space="preserve">3. NHS. Clobetasol: steroid medicine to treat swelling and itching. </w:t>
      </w:r>
      <w:r>
        <w:rPr>
          <w:sz w:val="17"/>
        </w:rPr>
        <w:t xml:space="preserve">Describes clobetasol as a very strong steroid used for inflammatory skin problems including eczema, psoriasis and lichen planus. </w:t>
      </w:r>
      <w:r>
        <w:rPr>
          <w:color w:val="0563C1"/>
          <w:sz w:val="17"/>
          <w:u w:val="single"/>
        </w:rPr>
        <w:t>https://www.nhs.uk/medicines/clobetasol/about-clobetasol/</w:t>
      </w:r>
    </w:p>
    <w:p w14:paraId="66F74DAE" w14:textId="77777777" w:rsidR="00171C68" w:rsidRDefault="00103522">
      <w:pPr>
        <w:spacing w:after="24" w:line="240" w:lineRule="auto"/>
        <w:ind w:left="317" w:hanging="317"/>
      </w:pPr>
      <w:r>
        <w:rPr>
          <w:b/>
          <w:sz w:val="17"/>
        </w:rPr>
        <w:t xml:space="preserve">4. Healthdirect Australia. Xobet. </w:t>
      </w:r>
      <w:r>
        <w:rPr>
          <w:sz w:val="17"/>
        </w:rPr>
        <w:t xml:space="preserve">Lists clobetasol propionate 0.05% cream for short-term treatment of resistant or severe inflammatory and pruritic manifestations of steroid-responsive dermatoses, including psoriasis, recalcitrant dermatoses, lichen sclerosus/planus and discoid lupus erythematosus in adults. </w:t>
      </w:r>
      <w:r>
        <w:rPr>
          <w:color w:val="0563C1"/>
          <w:sz w:val="17"/>
          <w:u w:val="single"/>
        </w:rPr>
        <w:t>https://www.healthdirect.gov.au/medicines/brand/amt%2C1761961000168103/xobet</w:t>
      </w:r>
    </w:p>
    <w:p w14:paraId="386C0080" w14:textId="77777777" w:rsidR="00171C68" w:rsidRDefault="00103522">
      <w:pPr>
        <w:spacing w:after="24" w:line="240" w:lineRule="auto"/>
        <w:ind w:left="317" w:hanging="317"/>
      </w:pPr>
      <w:r>
        <w:rPr>
          <w:b/>
          <w:sz w:val="17"/>
        </w:rPr>
        <w:t xml:space="preserve">5. Australian Commission on Safety and Quality in Health Care. Xobet Cream. </w:t>
      </w:r>
      <w:r>
        <w:rPr>
          <w:sz w:val="17"/>
        </w:rPr>
        <w:t xml:space="preserve">Consumer medicine information notes Xobet contains clobetasol propionate and includes precautions relevant to short-term use and contraindicated skin conditions. </w:t>
      </w:r>
      <w:r>
        <w:rPr>
          <w:color w:val="0563C1"/>
          <w:sz w:val="17"/>
          <w:u w:val="single"/>
        </w:rPr>
        <w:t>https://www.safetyandquality.gov.au/medicine-finder/xobet-cream</w:t>
      </w:r>
    </w:p>
    <w:p w14:paraId="225C04BF" w14:textId="77777777" w:rsidR="00171C68" w:rsidRDefault="00103522">
      <w:pPr>
        <w:spacing w:after="24" w:line="240" w:lineRule="auto"/>
        <w:ind w:left="317" w:hanging="317"/>
      </w:pPr>
      <w:r>
        <w:rPr>
          <w:b/>
          <w:sz w:val="17"/>
        </w:rPr>
        <w:t xml:space="preserve">6. Carlos G, Uribe P, Fernandez-Penas P. Rational use of topical corticosteroids. Australian Prescriber. 2013;36:158-161. </w:t>
      </w:r>
      <w:r>
        <w:rPr>
          <w:sz w:val="17"/>
        </w:rPr>
        <w:t xml:space="preserve">Discusses potency classifications, safe use principles, amount applied and systemic absorption considerations for topical corticosteroids. </w:t>
      </w:r>
      <w:r>
        <w:rPr>
          <w:color w:val="0563C1"/>
          <w:sz w:val="17"/>
          <w:u w:val="single"/>
        </w:rPr>
        <w:t>https://australianprescriber.tg.org.au/articles/rational-use-of-topical-corticosteroids.html</w:t>
      </w:r>
    </w:p>
    <w:sectPr w:rsidR="00171C68" w:rsidSect="00034616">
      <w:footerReference w:type="default" r:id="rId8"/>
      <w:pgSz w:w="12240" w:h="15840"/>
      <w:pgMar w:top="800" w:right="1037" w:bottom="840" w:left="10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D4D8A" w14:textId="77777777" w:rsidR="00103522" w:rsidRDefault="00103522">
      <w:pPr>
        <w:spacing w:after="0" w:line="240" w:lineRule="auto"/>
      </w:pPr>
      <w:r>
        <w:separator/>
      </w:r>
    </w:p>
  </w:endnote>
  <w:endnote w:type="continuationSeparator" w:id="0">
    <w:p w14:paraId="076B039D" w14:textId="77777777" w:rsidR="00103522" w:rsidRDefault="00103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B4F4F" w14:textId="77777777" w:rsidR="00171C68" w:rsidRDefault="00103522">
    <w:pPr>
      <w:pStyle w:val="Footer"/>
      <w:jc w:val="center"/>
    </w:pPr>
    <w:r>
      <w:rPr>
        <w:color w:val="666666"/>
        <w:sz w:val="16"/>
      </w:rPr>
      <w:t>Heywood Compounding | Prescriber information only | Prepared for website upload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4796F" w14:textId="77777777" w:rsidR="00103522" w:rsidRDefault="00103522">
      <w:pPr>
        <w:spacing w:after="0" w:line="240" w:lineRule="auto"/>
      </w:pPr>
      <w:r>
        <w:separator/>
      </w:r>
    </w:p>
  </w:footnote>
  <w:footnote w:type="continuationSeparator" w:id="0">
    <w:p w14:paraId="5509BD03" w14:textId="77777777" w:rsidR="00103522" w:rsidRDefault="001035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24695223">
    <w:abstractNumId w:val="8"/>
  </w:num>
  <w:num w:numId="2" w16cid:durableId="745499609">
    <w:abstractNumId w:val="6"/>
  </w:num>
  <w:num w:numId="3" w16cid:durableId="1319502831">
    <w:abstractNumId w:val="5"/>
  </w:num>
  <w:num w:numId="4" w16cid:durableId="679546400">
    <w:abstractNumId w:val="4"/>
  </w:num>
  <w:num w:numId="5" w16cid:durableId="1612130998">
    <w:abstractNumId w:val="7"/>
  </w:num>
  <w:num w:numId="6" w16cid:durableId="403378816">
    <w:abstractNumId w:val="3"/>
  </w:num>
  <w:num w:numId="7" w16cid:durableId="1951543552">
    <w:abstractNumId w:val="2"/>
  </w:num>
  <w:num w:numId="8" w16cid:durableId="653754259">
    <w:abstractNumId w:val="1"/>
  </w:num>
  <w:num w:numId="9" w16cid:durableId="720403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3522"/>
    <w:rsid w:val="0015074B"/>
    <w:rsid w:val="00171C68"/>
    <w:rsid w:val="0029639D"/>
    <w:rsid w:val="00326F90"/>
    <w:rsid w:val="004603AE"/>
    <w:rsid w:val="00744DBA"/>
    <w:rsid w:val="007678D3"/>
    <w:rsid w:val="009B6D87"/>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19ED04"/>
  <w14:defaultImageDpi w14:val="300"/>
  <w15:docId w15:val="{F049C1A7-F09C-4EAC-B692-B0FFA3E4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00" w:line="259" w:lineRule="auto"/>
    </w:pPr>
    <w:rPr>
      <w:rFonts w:ascii="Aptos" w:eastAsia="Aptos" w:hAnsi="Aptos"/>
      <w:sz w:val="21"/>
    </w:rPr>
  </w:style>
  <w:style w:type="paragraph" w:styleId="Heading1">
    <w:name w:val="heading 1"/>
    <w:basedOn w:val="Normal"/>
    <w:next w:val="Normal"/>
    <w:link w:val="Heading1Char"/>
    <w:uiPriority w:val="9"/>
    <w:qFormat/>
    <w:rsid w:val="00FC693F"/>
    <w:pPr>
      <w:keepNext/>
      <w:keepLines/>
      <w:spacing w:before="160"/>
      <w:outlineLvl w:val="0"/>
    </w:pPr>
    <w:rPr>
      <w:rFonts w:asciiTheme="majorHAnsi" w:eastAsiaTheme="majorEastAsia" w:hAnsiTheme="majorHAnsi" w:cstheme="majorBidi"/>
      <w:b/>
      <w:bCs/>
      <w:color w:val="1F4E5F"/>
      <w:sz w:val="30"/>
      <w:szCs w:val="28"/>
    </w:rPr>
  </w:style>
  <w:style w:type="paragraph" w:styleId="Heading2">
    <w:name w:val="heading 2"/>
    <w:basedOn w:val="Normal"/>
    <w:next w:val="Normal"/>
    <w:link w:val="Heading2Char"/>
    <w:uiPriority w:val="9"/>
    <w:unhideWhenUsed/>
    <w:qFormat/>
    <w:rsid w:val="00FC693F"/>
    <w:pPr>
      <w:keepNext/>
      <w:keepLines/>
      <w:spacing w:before="160"/>
      <w:outlineLvl w:val="1"/>
    </w:pPr>
    <w:rPr>
      <w:rFonts w:asciiTheme="majorHAnsi" w:eastAsiaTheme="majorEastAsia" w:hAnsiTheme="majorHAnsi" w:cstheme="majorBidi"/>
      <w:b/>
      <w:bCs/>
      <w:color w:val="2E6F57"/>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b/>
      <w:color w:val="1F4E5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Jeremy Chan</cp:lastModifiedBy>
  <cp:revision>2</cp:revision>
  <dcterms:created xsi:type="dcterms:W3CDTF">2026-06-15T04:31:00Z</dcterms:created>
  <dcterms:modified xsi:type="dcterms:W3CDTF">2026-06-15T04:31:00Z</dcterms:modified>
  <cp:category/>
</cp:coreProperties>
</file>