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B4595" w14:textId="77777777" w:rsidR="002142C8" w:rsidRDefault="00313558">
      <w:pPr>
        <w:pStyle w:val="Title"/>
        <w:jc w:val="center"/>
      </w:pPr>
      <w:r>
        <w:t>Alternative Chronic Pain and Neuropathic Pain Management</w:t>
      </w:r>
    </w:p>
    <w:p w14:paraId="52196CD3" w14:textId="77777777" w:rsidR="002142C8" w:rsidRDefault="00313558">
      <w:pPr>
        <w:jc w:val="center"/>
      </w:pPr>
      <w:r>
        <w:rPr>
          <w:b/>
          <w:color w:val="1F4E5F"/>
          <w:sz w:val="30"/>
        </w:rPr>
        <w:t>Ketamine Troches - Prescriber Information</w:t>
      </w:r>
    </w:p>
    <w:tbl>
      <w:tblPr>
        <w:tblW w:w="0" w:type="auto"/>
        <w:jc w:val="center"/>
        <w:tblLook w:val="04A0" w:firstRow="1" w:lastRow="0" w:firstColumn="1" w:lastColumn="0" w:noHBand="0" w:noVBand="1"/>
      </w:tblPr>
      <w:tblGrid>
        <w:gridCol w:w="10224"/>
      </w:tblGrid>
      <w:tr w:rsidR="002142C8" w14:paraId="00FB5C6F" w14:textId="77777777">
        <w:trPr>
          <w:jc w:val="center"/>
        </w:trPr>
        <w:tc>
          <w:tcPr>
            <w:tcW w:w="10224" w:type="dxa"/>
            <w:shd w:val="clear" w:color="auto" w:fill="EAF3F5"/>
            <w:tcMar>
              <w:top w:w="120" w:type="dxa"/>
              <w:left w:w="120" w:type="dxa"/>
              <w:bottom w:w="120" w:type="dxa"/>
              <w:right w:w="120" w:type="dxa"/>
            </w:tcMar>
          </w:tcPr>
          <w:p w14:paraId="3470B2B2" w14:textId="77777777" w:rsidR="002142C8" w:rsidRDefault="00313558">
            <w:pPr>
              <w:jc w:val="center"/>
            </w:pPr>
            <w:r>
              <w:rPr>
                <w:b/>
                <w:color w:val="1F4E5F"/>
                <w:sz w:val="22"/>
              </w:rPr>
              <w:t>Healthcare professional information only</w:t>
            </w:r>
          </w:p>
          <w:p w14:paraId="62841A8C" w14:textId="77777777" w:rsidR="002142C8" w:rsidRDefault="00313558">
            <w:pPr>
              <w:jc w:val="center"/>
            </w:pPr>
            <w:r>
              <w:rPr>
                <w:sz w:val="18"/>
              </w:rPr>
              <w:t xml:space="preserve">This document is intended to support prescriber discussion and does not replace individual clinical </w:t>
            </w:r>
            <w:r>
              <w:rPr>
                <w:sz w:val="18"/>
              </w:rPr>
              <w:t>judgement, local regulatory requirements, specialist advice, or patient-specific assessment.</w:t>
            </w:r>
          </w:p>
        </w:tc>
      </w:tr>
    </w:tbl>
    <w:p w14:paraId="4615AD32" w14:textId="77777777" w:rsidR="002142C8" w:rsidRDefault="00313558">
      <w:pPr>
        <w:pStyle w:val="Heading1"/>
      </w:pPr>
      <w:r>
        <w:t>Clinical Context</w:t>
      </w:r>
    </w:p>
    <w:p w14:paraId="48A22AB6" w14:textId="77777777" w:rsidR="002142C8" w:rsidRDefault="00313558">
      <w:pPr>
        <w:spacing w:line="259" w:lineRule="auto"/>
      </w:pPr>
      <w:r>
        <w:t>Ketamine troches may be considered as a prescriber-directed option for selected patients with refractory chronic pain, neuropathic pain, mixed nociceptive-neuropathic pain, central sensitisation, or palliative pain, particularly where conventional therapies have been inadequate, poorly tolerated, or unsuitable.</w:t>
      </w:r>
    </w:p>
    <w:p w14:paraId="104D5B5E" w14:textId="77777777" w:rsidR="002142C8" w:rsidRDefault="00313558">
      <w:pPr>
        <w:spacing w:line="259" w:lineRule="auto"/>
      </w:pPr>
      <w:r>
        <w:t>Ketamine is not considered a first-line analgesic for routine musculoskeletal pain. Use should be individualised, with clear treatment goals, careful titration, and regular review of benefit, adverse effects, function, cognition, sedation, blood pressure, psychiatric history, misuse/diversion risk and concomitant CNS depressants.</w:t>
      </w:r>
    </w:p>
    <w:p w14:paraId="02B6D10F" w14:textId="77777777" w:rsidR="002142C8" w:rsidRDefault="00313558">
      <w:pPr>
        <w:pStyle w:val="Heading1"/>
      </w:pPr>
      <w:r>
        <w:t>Evidence Summary</w:t>
      </w:r>
    </w:p>
    <w:p w14:paraId="3A7EF0DC" w14:textId="77777777" w:rsidR="002142C8" w:rsidRDefault="00313558">
      <w:pPr>
        <w:spacing w:line="259" w:lineRule="auto"/>
      </w:pPr>
      <w:r>
        <w:t>Published evidence for sublingual/oral ketamine in chronic pain remains limited and heterogeneous, but available data suggest potential benefit in selected refractory pain patients.</w:t>
      </w:r>
    </w:p>
    <w:p w14:paraId="32EAFB8C" w14:textId="77777777" w:rsidR="002142C8" w:rsidRDefault="00313558">
      <w:pPr>
        <w:spacing w:line="259" w:lineRule="auto"/>
      </w:pPr>
      <w:r>
        <w:t>A retrospective case series of sublingual ketamine for chronic non-malignant pain reported a wide dosing range of 25-600 mg/day in divided sublingual doses, with treatment durations ranging from 2 to 89 months. The authors reported benefit in selected chronic pain patients, although the study design was retrospective and uncontrolled.</w:t>
      </w:r>
    </w:p>
    <w:p w14:paraId="7BC0E93F" w14:textId="77777777" w:rsidR="002142C8" w:rsidRDefault="00313558">
      <w:pPr>
        <w:spacing w:line="259" w:lineRule="auto"/>
      </w:pPr>
      <w:r>
        <w:t>Review and consensus literature generally describes the evidence base for oral/sublingual ketamine in chronic pain as low-level. Some reviews describe dosing concepts around 150 mg/day or approximately 0.5 mg/kg every 6 hours, depending on clinical context and specialist direction.</w:t>
      </w:r>
    </w:p>
    <w:p w14:paraId="32C1095A" w14:textId="77777777" w:rsidR="002142C8" w:rsidRDefault="00313558">
      <w:pPr>
        <w:spacing w:line="259" w:lineRule="auto"/>
      </w:pPr>
      <w:r>
        <w:t>Because response and tolerability vary significantly, ketamine troches should generally be started at a low dose and titrated slowly.</w:t>
      </w:r>
    </w:p>
    <w:p w14:paraId="32909817" w14:textId="77777777" w:rsidR="002142C8" w:rsidRDefault="00313558">
      <w:pPr>
        <w:pStyle w:val="Heading1"/>
      </w:pPr>
      <w:r>
        <w:t>Practical Troche Strengths</w:t>
      </w:r>
    </w:p>
    <w:tbl>
      <w:tblPr>
        <w:tblStyle w:val="TableGrid"/>
        <w:tblW w:w="0" w:type="auto"/>
        <w:jc w:val="center"/>
        <w:tblLook w:val="04A0" w:firstRow="1" w:lastRow="0" w:firstColumn="1" w:lastColumn="0" w:noHBand="0" w:noVBand="1"/>
      </w:tblPr>
      <w:tblGrid>
        <w:gridCol w:w="5107"/>
        <w:gridCol w:w="5107"/>
      </w:tblGrid>
      <w:tr w:rsidR="002142C8" w14:paraId="52B7E406" w14:textId="77777777">
        <w:trPr>
          <w:tblHeader/>
          <w:jc w:val="center"/>
        </w:trPr>
        <w:tc>
          <w:tcPr>
            <w:tcW w:w="5112" w:type="dxa"/>
            <w:shd w:val="clear" w:color="auto" w:fill="1F4E5F"/>
            <w:tcMar>
              <w:top w:w="80" w:type="dxa"/>
              <w:left w:w="80" w:type="dxa"/>
              <w:bottom w:w="80" w:type="dxa"/>
              <w:right w:w="80" w:type="dxa"/>
            </w:tcMar>
          </w:tcPr>
          <w:p w14:paraId="70276E63" w14:textId="77777777" w:rsidR="002142C8" w:rsidRDefault="00313558">
            <w:pPr>
              <w:spacing w:after="40"/>
            </w:pPr>
            <w:r>
              <w:rPr>
                <w:b/>
                <w:color w:val="FFFFFF"/>
                <w:sz w:val="18"/>
              </w:rPr>
              <w:t>Troche strength</w:t>
            </w:r>
          </w:p>
        </w:tc>
        <w:tc>
          <w:tcPr>
            <w:tcW w:w="5112" w:type="dxa"/>
            <w:shd w:val="clear" w:color="auto" w:fill="1F4E5F"/>
            <w:tcMar>
              <w:top w:w="80" w:type="dxa"/>
              <w:left w:w="80" w:type="dxa"/>
              <w:bottom w:w="80" w:type="dxa"/>
              <w:right w:w="80" w:type="dxa"/>
            </w:tcMar>
          </w:tcPr>
          <w:p w14:paraId="33C2C979" w14:textId="77777777" w:rsidR="002142C8" w:rsidRDefault="00313558">
            <w:pPr>
              <w:spacing w:after="40"/>
            </w:pPr>
            <w:r>
              <w:rPr>
                <w:b/>
                <w:color w:val="FFFFFF"/>
                <w:sz w:val="18"/>
              </w:rPr>
              <w:t>Practical use</w:t>
            </w:r>
          </w:p>
        </w:tc>
      </w:tr>
      <w:tr w:rsidR="002142C8" w14:paraId="7A1051CB" w14:textId="77777777">
        <w:trPr>
          <w:jc w:val="center"/>
        </w:trPr>
        <w:tc>
          <w:tcPr>
            <w:tcW w:w="5112" w:type="dxa"/>
            <w:tcMar>
              <w:top w:w="80" w:type="dxa"/>
              <w:left w:w="80" w:type="dxa"/>
              <w:bottom w:w="80" w:type="dxa"/>
              <w:right w:w="80" w:type="dxa"/>
            </w:tcMar>
          </w:tcPr>
          <w:p w14:paraId="73B39571" w14:textId="77777777" w:rsidR="002142C8" w:rsidRDefault="00313558">
            <w:pPr>
              <w:spacing w:after="40"/>
            </w:pPr>
            <w:r>
              <w:rPr>
                <w:sz w:val="18"/>
              </w:rPr>
              <w:t>25 mg</w:t>
            </w:r>
          </w:p>
        </w:tc>
        <w:tc>
          <w:tcPr>
            <w:tcW w:w="5112" w:type="dxa"/>
            <w:tcMar>
              <w:top w:w="80" w:type="dxa"/>
              <w:left w:w="80" w:type="dxa"/>
              <w:bottom w:w="80" w:type="dxa"/>
              <w:right w:w="80" w:type="dxa"/>
            </w:tcMar>
          </w:tcPr>
          <w:p w14:paraId="4B78F308" w14:textId="77777777" w:rsidR="002142C8" w:rsidRDefault="00313558">
            <w:pPr>
              <w:spacing w:after="40"/>
            </w:pPr>
            <w:r>
              <w:rPr>
                <w:sz w:val="18"/>
              </w:rPr>
              <w:t>Conservative starting strength; useful for frail patients, cautious titration, or low-dose initiation</w:t>
            </w:r>
          </w:p>
        </w:tc>
      </w:tr>
      <w:tr w:rsidR="002142C8" w14:paraId="1E98F110" w14:textId="77777777">
        <w:trPr>
          <w:jc w:val="center"/>
        </w:trPr>
        <w:tc>
          <w:tcPr>
            <w:tcW w:w="5112" w:type="dxa"/>
            <w:tcMar>
              <w:top w:w="80" w:type="dxa"/>
              <w:left w:w="80" w:type="dxa"/>
              <w:bottom w:w="80" w:type="dxa"/>
              <w:right w:w="80" w:type="dxa"/>
            </w:tcMar>
          </w:tcPr>
          <w:p w14:paraId="5F1EDB6B" w14:textId="77777777" w:rsidR="002142C8" w:rsidRDefault="00313558">
            <w:pPr>
              <w:spacing w:after="40"/>
            </w:pPr>
            <w:r>
              <w:rPr>
                <w:sz w:val="18"/>
              </w:rPr>
              <w:t>50 mg</w:t>
            </w:r>
          </w:p>
        </w:tc>
        <w:tc>
          <w:tcPr>
            <w:tcW w:w="5112" w:type="dxa"/>
            <w:tcMar>
              <w:top w:w="80" w:type="dxa"/>
              <w:left w:w="80" w:type="dxa"/>
              <w:bottom w:w="80" w:type="dxa"/>
              <w:right w:w="80" w:type="dxa"/>
            </w:tcMar>
          </w:tcPr>
          <w:p w14:paraId="3DD48FAF" w14:textId="77777777" w:rsidR="002142C8" w:rsidRDefault="00313558">
            <w:pPr>
              <w:spacing w:after="40"/>
            </w:pPr>
            <w:r>
              <w:rPr>
                <w:sz w:val="18"/>
              </w:rPr>
              <w:t>Common titration strength for neuropathic or mixed chronic pain</w:t>
            </w:r>
          </w:p>
        </w:tc>
      </w:tr>
      <w:tr w:rsidR="002142C8" w14:paraId="1195E1E3" w14:textId="77777777">
        <w:trPr>
          <w:jc w:val="center"/>
        </w:trPr>
        <w:tc>
          <w:tcPr>
            <w:tcW w:w="5112" w:type="dxa"/>
            <w:tcMar>
              <w:top w:w="80" w:type="dxa"/>
              <w:left w:w="80" w:type="dxa"/>
              <w:bottom w:w="80" w:type="dxa"/>
              <w:right w:w="80" w:type="dxa"/>
            </w:tcMar>
          </w:tcPr>
          <w:p w14:paraId="6C64A709" w14:textId="77777777" w:rsidR="002142C8" w:rsidRDefault="00313558">
            <w:pPr>
              <w:spacing w:after="40"/>
            </w:pPr>
            <w:r>
              <w:rPr>
                <w:sz w:val="18"/>
              </w:rPr>
              <w:t>100 mg</w:t>
            </w:r>
          </w:p>
        </w:tc>
        <w:tc>
          <w:tcPr>
            <w:tcW w:w="5112" w:type="dxa"/>
            <w:tcMar>
              <w:top w:w="80" w:type="dxa"/>
              <w:left w:w="80" w:type="dxa"/>
              <w:bottom w:w="80" w:type="dxa"/>
              <w:right w:w="80" w:type="dxa"/>
            </w:tcMar>
          </w:tcPr>
          <w:p w14:paraId="6C68F542" w14:textId="77777777" w:rsidR="002142C8" w:rsidRDefault="00313558">
            <w:pPr>
              <w:spacing w:after="40"/>
            </w:pPr>
            <w:r>
              <w:rPr>
                <w:sz w:val="18"/>
              </w:rPr>
              <w:t>Stronger unit for refractory pain or palliative care; allows quarter-troche titration</w:t>
            </w:r>
          </w:p>
        </w:tc>
      </w:tr>
      <w:tr w:rsidR="002142C8" w14:paraId="33394678" w14:textId="77777777">
        <w:trPr>
          <w:jc w:val="center"/>
        </w:trPr>
        <w:tc>
          <w:tcPr>
            <w:tcW w:w="5112" w:type="dxa"/>
            <w:tcMar>
              <w:top w:w="80" w:type="dxa"/>
              <w:left w:w="80" w:type="dxa"/>
              <w:bottom w:w="80" w:type="dxa"/>
              <w:right w:w="80" w:type="dxa"/>
            </w:tcMar>
          </w:tcPr>
          <w:p w14:paraId="3E076D26" w14:textId="77777777" w:rsidR="002142C8" w:rsidRDefault="00313558">
            <w:pPr>
              <w:spacing w:after="40"/>
            </w:pPr>
            <w:r>
              <w:rPr>
                <w:sz w:val="18"/>
              </w:rPr>
              <w:t>&gt;100 mg</w:t>
            </w:r>
          </w:p>
        </w:tc>
        <w:tc>
          <w:tcPr>
            <w:tcW w:w="5112" w:type="dxa"/>
            <w:tcMar>
              <w:top w:w="80" w:type="dxa"/>
              <w:left w:w="80" w:type="dxa"/>
              <w:bottom w:w="80" w:type="dxa"/>
              <w:right w:w="80" w:type="dxa"/>
            </w:tcMar>
          </w:tcPr>
          <w:p w14:paraId="3DF320AC" w14:textId="77777777" w:rsidR="002142C8" w:rsidRDefault="00313558">
            <w:pPr>
              <w:spacing w:after="40"/>
            </w:pPr>
            <w:r>
              <w:rPr>
                <w:sz w:val="18"/>
              </w:rPr>
              <w:t>Generally best reserved for pain specialist, palliative care, or experienced prescriber direction</w:t>
            </w:r>
          </w:p>
        </w:tc>
      </w:tr>
    </w:tbl>
    <w:p w14:paraId="37513738" w14:textId="77777777" w:rsidR="002142C8" w:rsidRDefault="00313558">
      <w:pPr>
        <w:pStyle w:val="Heading1"/>
      </w:pPr>
      <w:r>
        <w:lastRenderedPageBreak/>
        <w:t>Example Dosing Concepts</w:t>
      </w:r>
    </w:p>
    <w:p w14:paraId="41C04014" w14:textId="77777777" w:rsidR="002142C8" w:rsidRDefault="00313558">
      <w:pPr>
        <w:spacing w:line="259" w:lineRule="auto"/>
      </w:pPr>
      <w:r>
        <w:t>Dosing should be determined by the prescriber according to patient factors, indication, prior ketamine exposure, concomitant medicines and treatment goals.</w:t>
      </w:r>
    </w:p>
    <w:p w14:paraId="076705DA" w14:textId="77777777" w:rsidR="002142C8" w:rsidRDefault="00313558">
      <w:pPr>
        <w:pStyle w:val="Heading2"/>
      </w:pPr>
      <w:r>
        <w:t>Cautious initiation</w:t>
      </w:r>
    </w:p>
    <w:p w14:paraId="165833B8" w14:textId="77777777" w:rsidR="002142C8" w:rsidRDefault="00313558">
      <w:pPr>
        <w:spacing w:after="60"/>
      </w:pPr>
      <w:r>
        <w:rPr>
          <w:b/>
          <w:color w:val="1F4E5F"/>
        </w:rPr>
        <w:t>Ketamine troche 25 mg</w:t>
      </w:r>
    </w:p>
    <w:p w14:paraId="50C4E42C" w14:textId="77777777" w:rsidR="002142C8" w:rsidRDefault="00313558">
      <w:pPr>
        <w:spacing w:line="259" w:lineRule="auto"/>
      </w:pPr>
      <w:r>
        <w:t>Dissolve 1/4 to 1 troche buccally or sublingually once daily or at night, then titrate according to response and tolerability.</w:t>
      </w:r>
    </w:p>
    <w:p w14:paraId="2C724D05" w14:textId="77777777" w:rsidR="002142C8" w:rsidRDefault="00313558">
      <w:pPr>
        <w:pStyle w:val="Heading2"/>
      </w:pPr>
      <w:r>
        <w:t>Neuropathic or mixed chronic pain</w:t>
      </w:r>
    </w:p>
    <w:p w14:paraId="380174E9" w14:textId="77777777" w:rsidR="002142C8" w:rsidRDefault="00313558">
      <w:pPr>
        <w:spacing w:after="60"/>
      </w:pPr>
      <w:r>
        <w:rPr>
          <w:b/>
          <w:color w:val="1F4E5F"/>
        </w:rPr>
        <w:t>Ketamine troche 25-50 mg</w:t>
      </w:r>
    </w:p>
    <w:p w14:paraId="2AEEDC0C" w14:textId="77777777" w:rsidR="002142C8" w:rsidRDefault="00313558">
      <w:pPr>
        <w:spacing w:line="259" w:lineRule="auto"/>
      </w:pPr>
      <w:r>
        <w:t>Dissolve buccally or sublingually once daily to three times daily, as directed by the prescriber.</w:t>
      </w:r>
    </w:p>
    <w:p w14:paraId="287C8430" w14:textId="77777777" w:rsidR="002142C8" w:rsidRDefault="00313558">
      <w:pPr>
        <w:pStyle w:val="Heading2"/>
      </w:pPr>
      <w:r>
        <w:t>Refractory pain / palliative care</w:t>
      </w:r>
    </w:p>
    <w:p w14:paraId="4BE7F862" w14:textId="77777777" w:rsidR="002142C8" w:rsidRDefault="00313558">
      <w:pPr>
        <w:spacing w:after="60"/>
      </w:pPr>
      <w:r>
        <w:rPr>
          <w:b/>
          <w:color w:val="1F4E5F"/>
        </w:rPr>
        <w:t>Ketamine troche 50-100 mg</w:t>
      </w:r>
    </w:p>
    <w:p w14:paraId="1D30A45E" w14:textId="77777777" w:rsidR="002142C8" w:rsidRDefault="00313558">
      <w:pPr>
        <w:spacing w:line="259" w:lineRule="auto"/>
      </w:pPr>
      <w:r>
        <w:t>Use in divided doses and titrate carefully according to analgesic response, functional benefit and adverse effects.</w:t>
      </w:r>
    </w:p>
    <w:p w14:paraId="6E1E58AD" w14:textId="77777777" w:rsidR="002142C8" w:rsidRDefault="00313558">
      <w:pPr>
        <w:pStyle w:val="Heading2"/>
      </w:pPr>
      <w:r>
        <w:t>Cost-conscious titration option</w:t>
      </w:r>
    </w:p>
    <w:p w14:paraId="1D3CDD56" w14:textId="77777777" w:rsidR="002142C8" w:rsidRDefault="00313558">
      <w:pPr>
        <w:spacing w:after="60"/>
      </w:pPr>
      <w:r>
        <w:rPr>
          <w:b/>
          <w:color w:val="1F4E5F"/>
        </w:rPr>
        <w:t>Ketamine troche 100 mg</w:t>
      </w:r>
    </w:p>
    <w:p w14:paraId="4303E2B7" w14:textId="77777777" w:rsidR="002142C8" w:rsidRDefault="00313558">
      <w:pPr>
        <w:spacing w:line="259" w:lineRule="auto"/>
      </w:pPr>
      <w:r>
        <w:t>Where cost and tablet burden are considerations, the prescriber may consider starting with 1/4 troche two to three times daily and titrating gradually as directed. This provides flexible dose escalation from approximately 25 mg per dose up to 100 mg per dose, if clinically appropriate and tolerated.</w:t>
      </w:r>
    </w:p>
    <w:p w14:paraId="071D6259" w14:textId="77777777" w:rsidR="002142C8" w:rsidRDefault="00313558">
      <w:pPr>
        <w:spacing w:line="259" w:lineRule="auto"/>
      </w:pPr>
      <w:r>
        <w:t>A possible upper titration pathway may include up to 100 mg three times daily in selected refractory cases; however, this should generally be considered specialist-directed or used only by prescribers experienced with ketamine therapy.</w:t>
      </w:r>
    </w:p>
    <w:p w14:paraId="0D5297F9" w14:textId="77777777" w:rsidR="002142C8" w:rsidRDefault="00313558">
      <w:pPr>
        <w:pStyle w:val="Heading1"/>
      </w:pPr>
      <w:r>
        <w:t>Suggested Clinical Positioning</w:t>
      </w:r>
    </w:p>
    <w:tbl>
      <w:tblPr>
        <w:tblStyle w:val="TableGrid"/>
        <w:tblW w:w="0" w:type="auto"/>
        <w:jc w:val="center"/>
        <w:tblLook w:val="04A0" w:firstRow="1" w:lastRow="0" w:firstColumn="1" w:lastColumn="0" w:noHBand="0" w:noVBand="1"/>
      </w:tblPr>
      <w:tblGrid>
        <w:gridCol w:w="3405"/>
        <w:gridCol w:w="3404"/>
        <w:gridCol w:w="3405"/>
      </w:tblGrid>
      <w:tr w:rsidR="002142C8" w14:paraId="72CF6764" w14:textId="77777777">
        <w:trPr>
          <w:tblHeader/>
          <w:jc w:val="center"/>
        </w:trPr>
        <w:tc>
          <w:tcPr>
            <w:tcW w:w="3408" w:type="dxa"/>
            <w:shd w:val="clear" w:color="auto" w:fill="1F4E5F"/>
            <w:tcMar>
              <w:top w:w="80" w:type="dxa"/>
              <w:left w:w="80" w:type="dxa"/>
              <w:bottom w:w="80" w:type="dxa"/>
              <w:right w:w="80" w:type="dxa"/>
            </w:tcMar>
          </w:tcPr>
          <w:p w14:paraId="349CE24E" w14:textId="77777777" w:rsidR="002142C8" w:rsidRDefault="00313558">
            <w:pPr>
              <w:spacing w:after="40"/>
            </w:pPr>
            <w:r>
              <w:rPr>
                <w:b/>
                <w:color w:val="FFFFFF"/>
                <w:sz w:val="18"/>
              </w:rPr>
              <w:t>Clinical situation</w:t>
            </w:r>
          </w:p>
        </w:tc>
        <w:tc>
          <w:tcPr>
            <w:tcW w:w="3408" w:type="dxa"/>
            <w:shd w:val="clear" w:color="auto" w:fill="1F4E5F"/>
            <w:tcMar>
              <w:top w:w="80" w:type="dxa"/>
              <w:left w:w="80" w:type="dxa"/>
              <w:bottom w:w="80" w:type="dxa"/>
              <w:right w:w="80" w:type="dxa"/>
            </w:tcMar>
          </w:tcPr>
          <w:p w14:paraId="01A2A2AE" w14:textId="77777777" w:rsidR="002142C8" w:rsidRDefault="00313558">
            <w:pPr>
              <w:spacing w:after="40"/>
            </w:pPr>
            <w:r>
              <w:rPr>
                <w:b/>
                <w:color w:val="FFFFFF"/>
                <w:sz w:val="18"/>
              </w:rPr>
              <w:t>Typical troche strength</w:t>
            </w:r>
          </w:p>
        </w:tc>
        <w:tc>
          <w:tcPr>
            <w:tcW w:w="3408" w:type="dxa"/>
            <w:shd w:val="clear" w:color="auto" w:fill="1F4E5F"/>
            <w:tcMar>
              <w:top w:w="80" w:type="dxa"/>
              <w:left w:w="80" w:type="dxa"/>
              <w:bottom w:w="80" w:type="dxa"/>
              <w:right w:w="80" w:type="dxa"/>
            </w:tcMar>
          </w:tcPr>
          <w:p w14:paraId="5747A69B" w14:textId="77777777" w:rsidR="002142C8" w:rsidRDefault="00313558">
            <w:pPr>
              <w:spacing w:after="40"/>
            </w:pPr>
            <w:r>
              <w:rPr>
                <w:b/>
                <w:color w:val="FFFFFF"/>
                <w:sz w:val="18"/>
              </w:rPr>
              <w:t>Dosing concept</w:t>
            </w:r>
          </w:p>
        </w:tc>
      </w:tr>
      <w:tr w:rsidR="002142C8" w14:paraId="6ABDF676" w14:textId="77777777">
        <w:trPr>
          <w:jc w:val="center"/>
        </w:trPr>
        <w:tc>
          <w:tcPr>
            <w:tcW w:w="3408" w:type="dxa"/>
            <w:tcMar>
              <w:top w:w="80" w:type="dxa"/>
              <w:left w:w="80" w:type="dxa"/>
              <w:bottom w:w="80" w:type="dxa"/>
              <w:right w:w="80" w:type="dxa"/>
            </w:tcMar>
          </w:tcPr>
          <w:p w14:paraId="19BE5FE4" w14:textId="77777777" w:rsidR="002142C8" w:rsidRDefault="00313558">
            <w:pPr>
              <w:spacing w:after="40"/>
            </w:pPr>
            <w:r>
              <w:rPr>
                <w:sz w:val="18"/>
              </w:rPr>
              <w:t>Very cautious start / frail patient</w:t>
            </w:r>
          </w:p>
        </w:tc>
        <w:tc>
          <w:tcPr>
            <w:tcW w:w="3408" w:type="dxa"/>
            <w:tcMar>
              <w:top w:w="80" w:type="dxa"/>
              <w:left w:w="80" w:type="dxa"/>
              <w:bottom w:w="80" w:type="dxa"/>
              <w:right w:w="80" w:type="dxa"/>
            </w:tcMar>
          </w:tcPr>
          <w:p w14:paraId="37716B58" w14:textId="77777777" w:rsidR="002142C8" w:rsidRDefault="00313558">
            <w:pPr>
              <w:spacing w:after="40"/>
            </w:pPr>
            <w:r>
              <w:rPr>
                <w:sz w:val="18"/>
              </w:rPr>
              <w:t>10-25 mg</w:t>
            </w:r>
          </w:p>
        </w:tc>
        <w:tc>
          <w:tcPr>
            <w:tcW w:w="3408" w:type="dxa"/>
            <w:tcMar>
              <w:top w:w="80" w:type="dxa"/>
              <w:left w:w="80" w:type="dxa"/>
              <w:bottom w:w="80" w:type="dxa"/>
              <w:right w:w="80" w:type="dxa"/>
            </w:tcMar>
          </w:tcPr>
          <w:p w14:paraId="152FEDAE" w14:textId="77777777" w:rsidR="002142C8" w:rsidRDefault="00313558">
            <w:pPr>
              <w:spacing w:after="40"/>
            </w:pPr>
            <w:r>
              <w:rPr>
                <w:sz w:val="18"/>
              </w:rPr>
              <w:t>1/4-1 troche once daily or at night, then titrate</w:t>
            </w:r>
          </w:p>
        </w:tc>
      </w:tr>
      <w:tr w:rsidR="002142C8" w14:paraId="57577D8F" w14:textId="77777777">
        <w:trPr>
          <w:jc w:val="center"/>
        </w:trPr>
        <w:tc>
          <w:tcPr>
            <w:tcW w:w="3408" w:type="dxa"/>
            <w:tcMar>
              <w:top w:w="80" w:type="dxa"/>
              <w:left w:w="80" w:type="dxa"/>
              <w:bottom w:w="80" w:type="dxa"/>
              <w:right w:w="80" w:type="dxa"/>
            </w:tcMar>
          </w:tcPr>
          <w:p w14:paraId="14A50D4C" w14:textId="77777777" w:rsidR="002142C8" w:rsidRDefault="00313558">
            <w:pPr>
              <w:spacing w:after="40"/>
            </w:pPr>
            <w:r>
              <w:rPr>
                <w:sz w:val="18"/>
              </w:rPr>
              <w:t>Neuropathic or mixed chronic pain</w:t>
            </w:r>
          </w:p>
        </w:tc>
        <w:tc>
          <w:tcPr>
            <w:tcW w:w="3408" w:type="dxa"/>
            <w:tcMar>
              <w:top w:w="80" w:type="dxa"/>
              <w:left w:w="80" w:type="dxa"/>
              <w:bottom w:w="80" w:type="dxa"/>
              <w:right w:w="80" w:type="dxa"/>
            </w:tcMar>
          </w:tcPr>
          <w:p w14:paraId="1AFBDCD3" w14:textId="77777777" w:rsidR="002142C8" w:rsidRDefault="00313558">
            <w:pPr>
              <w:spacing w:after="40"/>
            </w:pPr>
            <w:r>
              <w:rPr>
                <w:sz w:val="18"/>
              </w:rPr>
              <w:t>25-50 mg</w:t>
            </w:r>
          </w:p>
        </w:tc>
        <w:tc>
          <w:tcPr>
            <w:tcW w:w="3408" w:type="dxa"/>
            <w:tcMar>
              <w:top w:w="80" w:type="dxa"/>
              <w:left w:w="80" w:type="dxa"/>
              <w:bottom w:w="80" w:type="dxa"/>
              <w:right w:w="80" w:type="dxa"/>
            </w:tcMar>
          </w:tcPr>
          <w:p w14:paraId="4B5357AE" w14:textId="77777777" w:rsidR="002142C8" w:rsidRDefault="00313558">
            <w:pPr>
              <w:spacing w:after="40"/>
            </w:pPr>
            <w:r>
              <w:rPr>
                <w:sz w:val="18"/>
              </w:rPr>
              <w:t>Once daily to two or three times daily, depending on response</w:t>
            </w:r>
          </w:p>
        </w:tc>
      </w:tr>
      <w:tr w:rsidR="002142C8" w14:paraId="46B1D4A7" w14:textId="77777777">
        <w:trPr>
          <w:jc w:val="center"/>
        </w:trPr>
        <w:tc>
          <w:tcPr>
            <w:tcW w:w="3408" w:type="dxa"/>
            <w:tcMar>
              <w:top w:w="80" w:type="dxa"/>
              <w:left w:w="80" w:type="dxa"/>
              <w:bottom w:w="80" w:type="dxa"/>
              <w:right w:w="80" w:type="dxa"/>
            </w:tcMar>
          </w:tcPr>
          <w:p w14:paraId="5278BE80" w14:textId="77777777" w:rsidR="002142C8" w:rsidRDefault="00313558">
            <w:pPr>
              <w:spacing w:after="40"/>
            </w:pPr>
            <w:r>
              <w:rPr>
                <w:sz w:val="18"/>
              </w:rPr>
              <w:t>Refractory pain / palliative care</w:t>
            </w:r>
          </w:p>
        </w:tc>
        <w:tc>
          <w:tcPr>
            <w:tcW w:w="3408" w:type="dxa"/>
            <w:tcMar>
              <w:top w:w="80" w:type="dxa"/>
              <w:left w:w="80" w:type="dxa"/>
              <w:bottom w:w="80" w:type="dxa"/>
              <w:right w:w="80" w:type="dxa"/>
            </w:tcMar>
          </w:tcPr>
          <w:p w14:paraId="7D310F62" w14:textId="77777777" w:rsidR="002142C8" w:rsidRDefault="00313558">
            <w:pPr>
              <w:spacing w:after="40"/>
            </w:pPr>
            <w:r>
              <w:rPr>
                <w:sz w:val="18"/>
              </w:rPr>
              <w:t>50-100 mg</w:t>
            </w:r>
          </w:p>
        </w:tc>
        <w:tc>
          <w:tcPr>
            <w:tcW w:w="3408" w:type="dxa"/>
            <w:tcMar>
              <w:top w:w="80" w:type="dxa"/>
              <w:left w:w="80" w:type="dxa"/>
              <w:bottom w:w="80" w:type="dxa"/>
              <w:right w:w="80" w:type="dxa"/>
            </w:tcMar>
          </w:tcPr>
          <w:p w14:paraId="5E282F77" w14:textId="77777777" w:rsidR="002142C8" w:rsidRDefault="00313558">
            <w:pPr>
              <w:spacing w:after="40"/>
            </w:pPr>
            <w:r>
              <w:rPr>
                <w:sz w:val="18"/>
              </w:rPr>
              <w:t>Divided doses, titrated carefully</w:t>
            </w:r>
          </w:p>
        </w:tc>
      </w:tr>
      <w:tr w:rsidR="002142C8" w14:paraId="4399A0E7" w14:textId="77777777">
        <w:trPr>
          <w:jc w:val="center"/>
        </w:trPr>
        <w:tc>
          <w:tcPr>
            <w:tcW w:w="3408" w:type="dxa"/>
            <w:tcMar>
              <w:top w:w="80" w:type="dxa"/>
              <w:left w:w="80" w:type="dxa"/>
              <w:bottom w:w="80" w:type="dxa"/>
              <w:right w:w="80" w:type="dxa"/>
            </w:tcMar>
          </w:tcPr>
          <w:p w14:paraId="2F37DE24" w14:textId="77777777" w:rsidR="002142C8" w:rsidRDefault="00313558">
            <w:pPr>
              <w:spacing w:after="40"/>
            </w:pPr>
            <w:r>
              <w:rPr>
                <w:sz w:val="18"/>
              </w:rPr>
              <w:t>High-dose refractory use</w:t>
            </w:r>
          </w:p>
        </w:tc>
        <w:tc>
          <w:tcPr>
            <w:tcW w:w="3408" w:type="dxa"/>
            <w:tcMar>
              <w:top w:w="80" w:type="dxa"/>
              <w:left w:w="80" w:type="dxa"/>
              <w:bottom w:w="80" w:type="dxa"/>
              <w:right w:w="80" w:type="dxa"/>
            </w:tcMar>
          </w:tcPr>
          <w:p w14:paraId="0D51CBE5" w14:textId="77777777" w:rsidR="002142C8" w:rsidRDefault="00313558">
            <w:pPr>
              <w:spacing w:after="40"/>
            </w:pPr>
            <w:r>
              <w:rPr>
                <w:sz w:val="18"/>
              </w:rPr>
              <w:t>&gt;100 mg</w:t>
            </w:r>
          </w:p>
        </w:tc>
        <w:tc>
          <w:tcPr>
            <w:tcW w:w="3408" w:type="dxa"/>
            <w:tcMar>
              <w:top w:w="80" w:type="dxa"/>
              <w:left w:w="80" w:type="dxa"/>
              <w:bottom w:w="80" w:type="dxa"/>
              <w:right w:w="80" w:type="dxa"/>
            </w:tcMar>
          </w:tcPr>
          <w:p w14:paraId="1607C83E" w14:textId="77777777" w:rsidR="002142C8" w:rsidRDefault="00313558">
            <w:pPr>
              <w:spacing w:after="40"/>
            </w:pPr>
            <w:r>
              <w:rPr>
                <w:sz w:val="18"/>
              </w:rPr>
              <w:t>Specialist or palliative-care directed</w:t>
            </w:r>
          </w:p>
        </w:tc>
      </w:tr>
    </w:tbl>
    <w:p w14:paraId="77BEA877" w14:textId="77777777" w:rsidR="002142C8" w:rsidRDefault="00313558">
      <w:pPr>
        <w:pStyle w:val="Heading1"/>
      </w:pPr>
      <w:r>
        <w:t>Advantages of Ketamine Troches Compared with Capsules</w:t>
      </w:r>
    </w:p>
    <w:p w14:paraId="6851C24E" w14:textId="77777777" w:rsidR="002142C8" w:rsidRDefault="00313558">
      <w:pPr>
        <w:spacing w:line="259" w:lineRule="auto"/>
      </w:pPr>
      <w:r>
        <w:t>Ketamine has relatively low and variable oral bioavailability because of first-pass metabolism. Troches may allow partial buccal or sublingual absorption when held in the mouth, while the swallowed portion undergoes gastrointestinal absorption and hepatic metabolism to norketamine.</w:t>
      </w:r>
    </w:p>
    <w:p w14:paraId="23982BE4" w14:textId="77777777" w:rsidR="002142C8" w:rsidRDefault="00313558">
      <w:pPr>
        <w:spacing w:line="259" w:lineRule="auto"/>
      </w:pPr>
      <w:r>
        <w:t>Troches should not be described as universally superior to capsules. They may offer faster onset and titration flexibility, while capsules may provide simpler, more consistent administration for some patients.</w:t>
      </w:r>
    </w:p>
    <w:tbl>
      <w:tblPr>
        <w:tblStyle w:val="TableGrid"/>
        <w:tblW w:w="0" w:type="auto"/>
        <w:jc w:val="center"/>
        <w:tblLook w:val="04A0" w:firstRow="1" w:lastRow="0" w:firstColumn="1" w:lastColumn="0" w:noHBand="0" w:noVBand="1"/>
      </w:tblPr>
      <w:tblGrid>
        <w:gridCol w:w="3405"/>
        <w:gridCol w:w="3405"/>
        <w:gridCol w:w="3404"/>
      </w:tblGrid>
      <w:tr w:rsidR="002142C8" w14:paraId="663BB400" w14:textId="77777777">
        <w:trPr>
          <w:tblHeader/>
          <w:jc w:val="center"/>
        </w:trPr>
        <w:tc>
          <w:tcPr>
            <w:tcW w:w="3408" w:type="dxa"/>
            <w:shd w:val="clear" w:color="auto" w:fill="1F4E5F"/>
            <w:tcMar>
              <w:top w:w="80" w:type="dxa"/>
              <w:left w:w="80" w:type="dxa"/>
              <w:bottom w:w="80" w:type="dxa"/>
              <w:right w:w="80" w:type="dxa"/>
            </w:tcMar>
          </w:tcPr>
          <w:p w14:paraId="1FD87F7B" w14:textId="77777777" w:rsidR="002142C8" w:rsidRDefault="00313558">
            <w:pPr>
              <w:spacing w:after="40"/>
            </w:pPr>
            <w:r>
              <w:rPr>
                <w:b/>
                <w:color w:val="FFFFFF"/>
                <w:sz w:val="18"/>
              </w:rPr>
              <w:t>Feature</w:t>
            </w:r>
          </w:p>
        </w:tc>
        <w:tc>
          <w:tcPr>
            <w:tcW w:w="3408" w:type="dxa"/>
            <w:shd w:val="clear" w:color="auto" w:fill="1F4E5F"/>
            <w:tcMar>
              <w:top w:w="80" w:type="dxa"/>
              <w:left w:w="80" w:type="dxa"/>
              <w:bottom w:w="80" w:type="dxa"/>
              <w:right w:w="80" w:type="dxa"/>
            </w:tcMar>
          </w:tcPr>
          <w:p w14:paraId="4F9F4742" w14:textId="77777777" w:rsidR="002142C8" w:rsidRDefault="00313558">
            <w:pPr>
              <w:spacing w:after="40"/>
            </w:pPr>
            <w:r>
              <w:rPr>
                <w:b/>
                <w:color w:val="FFFFFF"/>
                <w:sz w:val="18"/>
              </w:rPr>
              <w:t>Ketamine troche / lozenge</w:t>
            </w:r>
          </w:p>
        </w:tc>
        <w:tc>
          <w:tcPr>
            <w:tcW w:w="3408" w:type="dxa"/>
            <w:shd w:val="clear" w:color="auto" w:fill="1F4E5F"/>
            <w:tcMar>
              <w:top w:w="80" w:type="dxa"/>
              <w:left w:w="80" w:type="dxa"/>
              <w:bottom w:w="80" w:type="dxa"/>
              <w:right w:w="80" w:type="dxa"/>
            </w:tcMar>
          </w:tcPr>
          <w:p w14:paraId="2C7D83F2" w14:textId="77777777" w:rsidR="002142C8" w:rsidRDefault="00313558">
            <w:pPr>
              <w:spacing w:after="40"/>
            </w:pPr>
            <w:r>
              <w:rPr>
                <w:b/>
                <w:color w:val="FFFFFF"/>
                <w:sz w:val="18"/>
              </w:rPr>
              <w:t>Ketamine capsule</w:t>
            </w:r>
          </w:p>
        </w:tc>
      </w:tr>
      <w:tr w:rsidR="002142C8" w14:paraId="6B241D93" w14:textId="77777777">
        <w:trPr>
          <w:jc w:val="center"/>
        </w:trPr>
        <w:tc>
          <w:tcPr>
            <w:tcW w:w="3408" w:type="dxa"/>
            <w:tcMar>
              <w:top w:w="80" w:type="dxa"/>
              <w:left w:w="80" w:type="dxa"/>
              <w:bottom w:w="80" w:type="dxa"/>
              <w:right w:w="80" w:type="dxa"/>
            </w:tcMar>
          </w:tcPr>
          <w:p w14:paraId="1B756315" w14:textId="77777777" w:rsidR="002142C8" w:rsidRDefault="00313558">
            <w:pPr>
              <w:spacing w:after="40"/>
            </w:pPr>
            <w:r>
              <w:rPr>
                <w:sz w:val="18"/>
              </w:rPr>
              <w:t>Absorption</w:t>
            </w:r>
          </w:p>
        </w:tc>
        <w:tc>
          <w:tcPr>
            <w:tcW w:w="3408" w:type="dxa"/>
            <w:tcMar>
              <w:top w:w="80" w:type="dxa"/>
              <w:left w:w="80" w:type="dxa"/>
              <w:bottom w:w="80" w:type="dxa"/>
              <w:right w:w="80" w:type="dxa"/>
            </w:tcMar>
          </w:tcPr>
          <w:p w14:paraId="0166D282" w14:textId="77777777" w:rsidR="002142C8" w:rsidRDefault="00313558">
            <w:pPr>
              <w:spacing w:after="40"/>
            </w:pPr>
            <w:r>
              <w:rPr>
                <w:sz w:val="18"/>
              </w:rPr>
              <w:t>Buccal/sublingual absorption plus swallowed portion</w:t>
            </w:r>
          </w:p>
        </w:tc>
        <w:tc>
          <w:tcPr>
            <w:tcW w:w="3408" w:type="dxa"/>
            <w:tcMar>
              <w:top w:w="80" w:type="dxa"/>
              <w:left w:w="80" w:type="dxa"/>
              <w:bottom w:w="80" w:type="dxa"/>
              <w:right w:w="80" w:type="dxa"/>
            </w:tcMar>
          </w:tcPr>
          <w:p w14:paraId="60A66957" w14:textId="77777777" w:rsidR="002142C8" w:rsidRDefault="00313558">
            <w:pPr>
              <w:spacing w:after="40"/>
            </w:pPr>
            <w:r>
              <w:rPr>
                <w:sz w:val="18"/>
              </w:rPr>
              <w:t xml:space="preserve">Mainly </w:t>
            </w:r>
            <w:r>
              <w:rPr>
                <w:sz w:val="18"/>
              </w:rPr>
              <w:t>gastrointestinal absorption</w:t>
            </w:r>
          </w:p>
        </w:tc>
      </w:tr>
      <w:tr w:rsidR="002142C8" w14:paraId="4374A8BD" w14:textId="77777777">
        <w:trPr>
          <w:jc w:val="center"/>
        </w:trPr>
        <w:tc>
          <w:tcPr>
            <w:tcW w:w="3408" w:type="dxa"/>
            <w:tcMar>
              <w:top w:w="80" w:type="dxa"/>
              <w:left w:w="80" w:type="dxa"/>
              <w:bottom w:w="80" w:type="dxa"/>
              <w:right w:w="80" w:type="dxa"/>
            </w:tcMar>
          </w:tcPr>
          <w:p w14:paraId="638F7614" w14:textId="77777777" w:rsidR="002142C8" w:rsidRDefault="00313558">
            <w:pPr>
              <w:spacing w:after="40"/>
            </w:pPr>
            <w:r>
              <w:rPr>
                <w:sz w:val="18"/>
              </w:rPr>
              <w:lastRenderedPageBreak/>
              <w:t>First-pass metabolism</w:t>
            </w:r>
          </w:p>
        </w:tc>
        <w:tc>
          <w:tcPr>
            <w:tcW w:w="3408" w:type="dxa"/>
            <w:tcMar>
              <w:top w:w="80" w:type="dxa"/>
              <w:left w:w="80" w:type="dxa"/>
              <w:bottom w:w="80" w:type="dxa"/>
              <w:right w:w="80" w:type="dxa"/>
            </w:tcMar>
          </w:tcPr>
          <w:p w14:paraId="11B1C9D7" w14:textId="77777777" w:rsidR="002142C8" w:rsidRDefault="00313558">
            <w:pPr>
              <w:spacing w:after="40"/>
            </w:pPr>
            <w:r>
              <w:rPr>
                <w:sz w:val="18"/>
              </w:rPr>
              <w:t>Partly bypassed if held buccally/sublingually</w:t>
            </w:r>
          </w:p>
        </w:tc>
        <w:tc>
          <w:tcPr>
            <w:tcW w:w="3408" w:type="dxa"/>
            <w:tcMar>
              <w:top w:w="80" w:type="dxa"/>
              <w:left w:w="80" w:type="dxa"/>
              <w:bottom w:w="80" w:type="dxa"/>
              <w:right w:w="80" w:type="dxa"/>
            </w:tcMar>
          </w:tcPr>
          <w:p w14:paraId="6C98F826" w14:textId="77777777" w:rsidR="002142C8" w:rsidRDefault="00313558">
            <w:pPr>
              <w:spacing w:after="40"/>
            </w:pPr>
            <w:r>
              <w:rPr>
                <w:sz w:val="18"/>
              </w:rPr>
              <w:t>Greater first-pass metabolism</w:t>
            </w:r>
          </w:p>
        </w:tc>
      </w:tr>
      <w:tr w:rsidR="002142C8" w14:paraId="25909071" w14:textId="77777777">
        <w:trPr>
          <w:jc w:val="center"/>
        </w:trPr>
        <w:tc>
          <w:tcPr>
            <w:tcW w:w="3408" w:type="dxa"/>
            <w:tcMar>
              <w:top w:w="80" w:type="dxa"/>
              <w:left w:w="80" w:type="dxa"/>
              <w:bottom w:w="80" w:type="dxa"/>
              <w:right w:w="80" w:type="dxa"/>
            </w:tcMar>
          </w:tcPr>
          <w:p w14:paraId="6D7A39E4" w14:textId="77777777" w:rsidR="002142C8" w:rsidRDefault="00313558">
            <w:pPr>
              <w:spacing w:after="40"/>
            </w:pPr>
            <w:r>
              <w:rPr>
                <w:sz w:val="18"/>
              </w:rPr>
              <w:t>Onset</w:t>
            </w:r>
          </w:p>
        </w:tc>
        <w:tc>
          <w:tcPr>
            <w:tcW w:w="3408" w:type="dxa"/>
            <w:tcMar>
              <w:top w:w="80" w:type="dxa"/>
              <w:left w:w="80" w:type="dxa"/>
              <w:bottom w:w="80" w:type="dxa"/>
              <w:right w:w="80" w:type="dxa"/>
            </w:tcMar>
          </w:tcPr>
          <w:p w14:paraId="050BDADD" w14:textId="77777777" w:rsidR="002142C8" w:rsidRDefault="00313558">
            <w:pPr>
              <w:spacing w:after="40"/>
            </w:pPr>
            <w:r>
              <w:rPr>
                <w:sz w:val="18"/>
              </w:rPr>
              <w:t>Usually faster</w:t>
            </w:r>
          </w:p>
        </w:tc>
        <w:tc>
          <w:tcPr>
            <w:tcW w:w="3408" w:type="dxa"/>
            <w:tcMar>
              <w:top w:w="80" w:type="dxa"/>
              <w:left w:w="80" w:type="dxa"/>
              <w:bottom w:w="80" w:type="dxa"/>
              <w:right w:w="80" w:type="dxa"/>
            </w:tcMar>
          </w:tcPr>
          <w:p w14:paraId="32D80DA7" w14:textId="77777777" w:rsidR="002142C8" w:rsidRDefault="00313558">
            <w:pPr>
              <w:spacing w:after="40"/>
            </w:pPr>
            <w:r>
              <w:rPr>
                <w:sz w:val="18"/>
              </w:rPr>
              <w:t>Usually slower</w:t>
            </w:r>
          </w:p>
        </w:tc>
      </w:tr>
      <w:tr w:rsidR="002142C8" w14:paraId="785F242E" w14:textId="77777777">
        <w:trPr>
          <w:jc w:val="center"/>
        </w:trPr>
        <w:tc>
          <w:tcPr>
            <w:tcW w:w="3408" w:type="dxa"/>
            <w:tcMar>
              <w:top w:w="80" w:type="dxa"/>
              <w:left w:w="80" w:type="dxa"/>
              <w:bottom w:w="80" w:type="dxa"/>
              <w:right w:w="80" w:type="dxa"/>
            </w:tcMar>
          </w:tcPr>
          <w:p w14:paraId="3602118C" w14:textId="77777777" w:rsidR="002142C8" w:rsidRDefault="00313558">
            <w:pPr>
              <w:spacing w:after="40"/>
            </w:pPr>
            <w:r>
              <w:rPr>
                <w:sz w:val="18"/>
              </w:rPr>
              <w:t>Dose flexibility</w:t>
            </w:r>
          </w:p>
        </w:tc>
        <w:tc>
          <w:tcPr>
            <w:tcW w:w="3408" w:type="dxa"/>
            <w:tcMar>
              <w:top w:w="80" w:type="dxa"/>
              <w:left w:w="80" w:type="dxa"/>
              <w:bottom w:w="80" w:type="dxa"/>
              <w:right w:w="80" w:type="dxa"/>
            </w:tcMar>
          </w:tcPr>
          <w:p w14:paraId="0868012D" w14:textId="77777777" w:rsidR="002142C8" w:rsidRDefault="00313558">
            <w:pPr>
              <w:spacing w:after="40"/>
            </w:pPr>
            <w:r>
              <w:rPr>
                <w:sz w:val="18"/>
              </w:rPr>
              <w:t>Can often be quartered or halved for titration</w:t>
            </w:r>
          </w:p>
        </w:tc>
        <w:tc>
          <w:tcPr>
            <w:tcW w:w="3408" w:type="dxa"/>
            <w:tcMar>
              <w:top w:w="80" w:type="dxa"/>
              <w:left w:w="80" w:type="dxa"/>
              <w:bottom w:w="80" w:type="dxa"/>
              <w:right w:w="80" w:type="dxa"/>
            </w:tcMar>
          </w:tcPr>
          <w:p w14:paraId="1901E29B" w14:textId="77777777" w:rsidR="002142C8" w:rsidRDefault="00313558">
            <w:pPr>
              <w:spacing w:after="40"/>
            </w:pPr>
            <w:r>
              <w:rPr>
                <w:sz w:val="18"/>
              </w:rPr>
              <w:t>Less flexible unless multiple strengths are compounded</w:t>
            </w:r>
          </w:p>
        </w:tc>
      </w:tr>
      <w:tr w:rsidR="002142C8" w14:paraId="1613AB7C" w14:textId="77777777">
        <w:trPr>
          <w:jc w:val="center"/>
        </w:trPr>
        <w:tc>
          <w:tcPr>
            <w:tcW w:w="3408" w:type="dxa"/>
            <w:tcMar>
              <w:top w:w="80" w:type="dxa"/>
              <w:left w:w="80" w:type="dxa"/>
              <w:bottom w:w="80" w:type="dxa"/>
              <w:right w:w="80" w:type="dxa"/>
            </w:tcMar>
          </w:tcPr>
          <w:p w14:paraId="74FBEAAD" w14:textId="77777777" w:rsidR="002142C8" w:rsidRDefault="00313558">
            <w:pPr>
              <w:spacing w:after="40"/>
            </w:pPr>
            <w:r>
              <w:rPr>
                <w:sz w:val="18"/>
              </w:rPr>
              <w:t>Swallowing difficulty</w:t>
            </w:r>
          </w:p>
        </w:tc>
        <w:tc>
          <w:tcPr>
            <w:tcW w:w="3408" w:type="dxa"/>
            <w:tcMar>
              <w:top w:w="80" w:type="dxa"/>
              <w:left w:w="80" w:type="dxa"/>
              <w:bottom w:w="80" w:type="dxa"/>
              <w:right w:w="80" w:type="dxa"/>
            </w:tcMar>
          </w:tcPr>
          <w:p w14:paraId="7F66D353" w14:textId="77777777" w:rsidR="002142C8" w:rsidRDefault="00313558">
            <w:pPr>
              <w:spacing w:after="40"/>
            </w:pPr>
            <w:r>
              <w:rPr>
                <w:sz w:val="18"/>
              </w:rPr>
              <w:t>Useful if patient has difficulty swallowing capsules</w:t>
            </w:r>
          </w:p>
        </w:tc>
        <w:tc>
          <w:tcPr>
            <w:tcW w:w="3408" w:type="dxa"/>
            <w:tcMar>
              <w:top w:w="80" w:type="dxa"/>
              <w:left w:w="80" w:type="dxa"/>
              <w:bottom w:w="80" w:type="dxa"/>
              <w:right w:w="80" w:type="dxa"/>
            </w:tcMar>
          </w:tcPr>
          <w:p w14:paraId="26C60752" w14:textId="77777777" w:rsidR="002142C8" w:rsidRDefault="00313558">
            <w:pPr>
              <w:spacing w:after="40"/>
            </w:pPr>
            <w:r>
              <w:rPr>
                <w:sz w:val="18"/>
              </w:rPr>
              <w:t>Less suitable</w:t>
            </w:r>
          </w:p>
        </w:tc>
      </w:tr>
      <w:tr w:rsidR="002142C8" w14:paraId="37E551A4" w14:textId="77777777">
        <w:trPr>
          <w:jc w:val="center"/>
        </w:trPr>
        <w:tc>
          <w:tcPr>
            <w:tcW w:w="3408" w:type="dxa"/>
            <w:tcMar>
              <w:top w:w="80" w:type="dxa"/>
              <w:left w:w="80" w:type="dxa"/>
              <w:bottom w:w="80" w:type="dxa"/>
              <w:right w:w="80" w:type="dxa"/>
            </w:tcMar>
          </w:tcPr>
          <w:p w14:paraId="0BA66D98" w14:textId="77777777" w:rsidR="002142C8" w:rsidRDefault="00313558">
            <w:pPr>
              <w:spacing w:after="40"/>
            </w:pPr>
            <w:r>
              <w:rPr>
                <w:sz w:val="18"/>
              </w:rPr>
              <w:t>Taste</w:t>
            </w:r>
          </w:p>
        </w:tc>
        <w:tc>
          <w:tcPr>
            <w:tcW w:w="3408" w:type="dxa"/>
            <w:tcMar>
              <w:top w:w="80" w:type="dxa"/>
              <w:left w:w="80" w:type="dxa"/>
              <w:bottom w:w="80" w:type="dxa"/>
              <w:right w:w="80" w:type="dxa"/>
            </w:tcMar>
          </w:tcPr>
          <w:p w14:paraId="0AC726E1" w14:textId="77777777" w:rsidR="002142C8" w:rsidRDefault="00313558">
            <w:pPr>
              <w:spacing w:after="40"/>
            </w:pPr>
            <w:r>
              <w:rPr>
                <w:sz w:val="18"/>
              </w:rPr>
              <w:t>Bitter taste may be problematic</w:t>
            </w:r>
          </w:p>
        </w:tc>
        <w:tc>
          <w:tcPr>
            <w:tcW w:w="3408" w:type="dxa"/>
            <w:tcMar>
              <w:top w:w="80" w:type="dxa"/>
              <w:left w:w="80" w:type="dxa"/>
              <w:bottom w:w="80" w:type="dxa"/>
              <w:right w:w="80" w:type="dxa"/>
            </w:tcMar>
          </w:tcPr>
          <w:p w14:paraId="152B443B" w14:textId="77777777" w:rsidR="002142C8" w:rsidRDefault="00313558">
            <w:pPr>
              <w:spacing w:after="40"/>
            </w:pPr>
            <w:r>
              <w:rPr>
                <w:sz w:val="18"/>
              </w:rPr>
              <w:t>No taste issue</w:t>
            </w:r>
          </w:p>
        </w:tc>
      </w:tr>
      <w:tr w:rsidR="002142C8" w14:paraId="21819C0B" w14:textId="77777777">
        <w:trPr>
          <w:jc w:val="center"/>
        </w:trPr>
        <w:tc>
          <w:tcPr>
            <w:tcW w:w="3408" w:type="dxa"/>
            <w:tcMar>
              <w:top w:w="80" w:type="dxa"/>
              <w:left w:w="80" w:type="dxa"/>
              <w:bottom w:w="80" w:type="dxa"/>
              <w:right w:w="80" w:type="dxa"/>
            </w:tcMar>
          </w:tcPr>
          <w:p w14:paraId="7379E1FB" w14:textId="77777777" w:rsidR="002142C8" w:rsidRDefault="00313558">
            <w:pPr>
              <w:spacing w:after="40"/>
            </w:pPr>
            <w:r>
              <w:rPr>
                <w:sz w:val="18"/>
              </w:rPr>
              <w:t>Administration consistency</w:t>
            </w:r>
          </w:p>
        </w:tc>
        <w:tc>
          <w:tcPr>
            <w:tcW w:w="3408" w:type="dxa"/>
            <w:tcMar>
              <w:top w:w="80" w:type="dxa"/>
              <w:left w:w="80" w:type="dxa"/>
              <w:bottom w:w="80" w:type="dxa"/>
              <w:right w:w="80" w:type="dxa"/>
            </w:tcMar>
          </w:tcPr>
          <w:p w14:paraId="25DF5F7C" w14:textId="77777777" w:rsidR="002142C8" w:rsidRDefault="00313558">
            <w:pPr>
              <w:spacing w:after="40"/>
            </w:pPr>
            <w:r>
              <w:rPr>
                <w:sz w:val="18"/>
              </w:rPr>
              <w:t xml:space="preserve">Technique-dependent; effect may vary if </w:t>
            </w:r>
            <w:r>
              <w:rPr>
                <w:sz w:val="18"/>
              </w:rPr>
              <w:t>swallowed early</w:t>
            </w:r>
          </w:p>
        </w:tc>
        <w:tc>
          <w:tcPr>
            <w:tcW w:w="3408" w:type="dxa"/>
            <w:tcMar>
              <w:top w:w="80" w:type="dxa"/>
              <w:left w:w="80" w:type="dxa"/>
              <w:bottom w:w="80" w:type="dxa"/>
              <w:right w:w="80" w:type="dxa"/>
            </w:tcMar>
          </w:tcPr>
          <w:p w14:paraId="055ED0EC" w14:textId="77777777" w:rsidR="002142C8" w:rsidRDefault="00313558">
            <w:pPr>
              <w:spacing w:after="40"/>
            </w:pPr>
            <w:r>
              <w:rPr>
                <w:sz w:val="18"/>
              </w:rPr>
              <w:t>Simpler administration</w:t>
            </w:r>
          </w:p>
        </w:tc>
      </w:tr>
      <w:tr w:rsidR="002142C8" w14:paraId="2B6B9966" w14:textId="77777777">
        <w:trPr>
          <w:jc w:val="center"/>
        </w:trPr>
        <w:tc>
          <w:tcPr>
            <w:tcW w:w="3408" w:type="dxa"/>
            <w:tcMar>
              <w:top w:w="80" w:type="dxa"/>
              <w:left w:w="80" w:type="dxa"/>
              <w:bottom w:w="80" w:type="dxa"/>
              <w:right w:w="80" w:type="dxa"/>
            </w:tcMar>
          </w:tcPr>
          <w:p w14:paraId="044C0F37" w14:textId="77777777" w:rsidR="002142C8" w:rsidRDefault="00313558">
            <w:pPr>
              <w:spacing w:after="40"/>
            </w:pPr>
            <w:r>
              <w:rPr>
                <w:sz w:val="18"/>
              </w:rPr>
              <w:t>Practical use</w:t>
            </w:r>
          </w:p>
        </w:tc>
        <w:tc>
          <w:tcPr>
            <w:tcW w:w="3408" w:type="dxa"/>
            <w:tcMar>
              <w:top w:w="80" w:type="dxa"/>
              <w:left w:w="80" w:type="dxa"/>
              <w:bottom w:w="80" w:type="dxa"/>
              <w:right w:w="80" w:type="dxa"/>
            </w:tcMar>
          </w:tcPr>
          <w:p w14:paraId="74F073D0" w14:textId="77777777" w:rsidR="002142C8" w:rsidRDefault="00313558">
            <w:pPr>
              <w:spacing w:after="40"/>
            </w:pPr>
            <w:r>
              <w:rPr>
                <w:sz w:val="18"/>
              </w:rPr>
              <w:t>Useful for titration and transmucosal delivery</w:t>
            </w:r>
          </w:p>
        </w:tc>
        <w:tc>
          <w:tcPr>
            <w:tcW w:w="3408" w:type="dxa"/>
            <w:tcMar>
              <w:top w:w="80" w:type="dxa"/>
              <w:left w:w="80" w:type="dxa"/>
              <w:bottom w:w="80" w:type="dxa"/>
              <w:right w:w="80" w:type="dxa"/>
            </w:tcMar>
          </w:tcPr>
          <w:p w14:paraId="4797F3AA" w14:textId="77777777" w:rsidR="002142C8" w:rsidRDefault="00313558">
            <w:pPr>
              <w:spacing w:after="40"/>
            </w:pPr>
            <w:r>
              <w:rPr>
                <w:sz w:val="18"/>
              </w:rPr>
              <w:t>Useful for simpler scheduled oral dosing</w:t>
            </w:r>
          </w:p>
        </w:tc>
      </w:tr>
    </w:tbl>
    <w:p w14:paraId="59E8B352" w14:textId="77777777" w:rsidR="002142C8" w:rsidRDefault="00313558">
      <w:pPr>
        <w:pStyle w:val="Heading1"/>
      </w:pPr>
      <w:r>
        <w:t>Patient Counselling Points</w:t>
      </w:r>
    </w:p>
    <w:p w14:paraId="4F3445C0" w14:textId="77777777" w:rsidR="002142C8" w:rsidRDefault="00313558">
      <w:pPr>
        <w:spacing w:line="259" w:lineRule="auto"/>
      </w:pPr>
      <w:r>
        <w:t>Patients should receive clear instructions on how to use the troche:</w:t>
      </w:r>
    </w:p>
    <w:p w14:paraId="2364C559" w14:textId="77777777" w:rsidR="002142C8" w:rsidRDefault="00313558">
      <w:pPr>
        <w:pStyle w:val="ListBullet"/>
        <w:spacing w:after="60"/>
      </w:pPr>
      <w:r>
        <w:t>Place the troche buccally or sublingually as directed.</w:t>
      </w:r>
    </w:p>
    <w:p w14:paraId="6BF39EB4" w14:textId="77777777" w:rsidR="002142C8" w:rsidRDefault="00313558">
      <w:pPr>
        <w:pStyle w:val="ListBullet"/>
        <w:spacing w:after="60"/>
      </w:pPr>
      <w:r>
        <w:t>Allow it to dissolve slowly; do not chew or swallow immediately unless instructed.</w:t>
      </w:r>
    </w:p>
    <w:p w14:paraId="7C1C4225" w14:textId="77777777" w:rsidR="002142C8" w:rsidRDefault="00313558">
      <w:pPr>
        <w:pStyle w:val="ListBullet"/>
        <w:spacing w:after="60"/>
      </w:pPr>
      <w:r>
        <w:t>Avoid driving, operating machinery, alcohol or sedatives unless cleared by the prescriber.</w:t>
      </w:r>
    </w:p>
    <w:p w14:paraId="63226EDD" w14:textId="77777777" w:rsidR="002142C8" w:rsidRDefault="00313558">
      <w:pPr>
        <w:pStyle w:val="ListBullet"/>
        <w:spacing w:after="60"/>
      </w:pPr>
      <w:r>
        <w:t>Report excessive drowsiness, dizziness, confusion, hallucinations, dissociation, nausea, urinary symptoms, mood changes or blood pressure-related symptoms.</w:t>
      </w:r>
    </w:p>
    <w:p w14:paraId="3B040401" w14:textId="77777777" w:rsidR="002142C8" w:rsidRDefault="00313558">
      <w:pPr>
        <w:pStyle w:val="ListBullet"/>
        <w:spacing w:after="60"/>
      </w:pPr>
      <w:r>
        <w:t>Store securely due to misuse and diversion risk.</w:t>
      </w:r>
    </w:p>
    <w:p w14:paraId="241A6D89" w14:textId="77777777" w:rsidR="002142C8" w:rsidRDefault="00313558">
      <w:pPr>
        <w:pStyle w:val="Heading1"/>
      </w:pPr>
      <w:r>
        <w:t>Cautions and Monitoring</w:t>
      </w:r>
    </w:p>
    <w:p w14:paraId="24E8EC13" w14:textId="77777777" w:rsidR="002142C8" w:rsidRDefault="00313558">
      <w:pPr>
        <w:spacing w:line="259" w:lineRule="auto"/>
      </w:pPr>
      <w:r>
        <w:t>Use caution or seek specialist advice in patients with:</w:t>
      </w:r>
    </w:p>
    <w:p w14:paraId="16B55D70" w14:textId="77777777" w:rsidR="002142C8" w:rsidRDefault="00313558">
      <w:pPr>
        <w:pStyle w:val="ListBullet"/>
        <w:spacing w:after="60"/>
      </w:pPr>
      <w:r>
        <w:t>Uncontrolled hypertension or significant cardiovascular disease</w:t>
      </w:r>
    </w:p>
    <w:p w14:paraId="46CE3E92" w14:textId="77777777" w:rsidR="002142C8" w:rsidRDefault="00313558">
      <w:pPr>
        <w:pStyle w:val="ListBullet"/>
        <w:spacing w:after="60"/>
      </w:pPr>
      <w:r>
        <w:t>History of psychosis, mania or severe psychiatric instability</w:t>
      </w:r>
    </w:p>
    <w:p w14:paraId="7143394F" w14:textId="77777777" w:rsidR="002142C8" w:rsidRDefault="00313558">
      <w:pPr>
        <w:pStyle w:val="ListBullet"/>
        <w:spacing w:after="60"/>
      </w:pPr>
      <w:r>
        <w:t>Substance misuse risk</w:t>
      </w:r>
    </w:p>
    <w:p w14:paraId="3AFA7679" w14:textId="77777777" w:rsidR="002142C8" w:rsidRDefault="00313558">
      <w:pPr>
        <w:pStyle w:val="ListBullet"/>
        <w:spacing w:after="60"/>
      </w:pPr>
      <w:r>
        <w:t>Significant hepatic impairment</w:t>
      </w:r>
    </w:p>
    <w:p w14:paraId="359FD3A7" w14:textId="77777777" w:rsidR="002142C8" w:rsidRDefault="00313558">
      <w:pPr>
        <w:pStyle w:val="ListBullet"/>
        <w:spacing w:after="60"/>
      </w:pPr>
      <w:r>
        <w:t>Significant cognitive impairment or frailty</w:t>
      </w:r>
    </w:p>
    <w:p w14:paraId="4F878363" w14:textId="77777777" w:rsidR="002142C8" w:rsidRDefault="00313558">
      <w:pPr>
        <w:pStyle w:val="ListBullet"/>
        <w:spacing w:after="60"/>
      </w:pPr>
      <w:r>
        <w:t>Concomitant opioids, benzodiazepines, alcohol, sedatives or other CNS depressants</w:t>
      </w:r>
    </w:p>
    <w:p w14:paraId="1CC83F04" w14:textId="77777777" w:rsidR="002142C8" w:rsidRDefault="00313558">
      <w:pPr>
        <w:pStyle w:val="ListBullet"/>
        <w:spacing w:after="60"/>
      </w:pPr>
      <w:r>
        <w:t>Occupational or driving safety concerns</w:t>
      </w:r>
    </w:p>
    <w:p w14:paraId="49262BF5" w14:textId="77777777" w:rsidR="002142C8" w:rsidRDefault="00313558">
      <w:pPr>
        <w:spacing w:line="259" w:lineRule="auto"/>
      </w:pPr>
      <w:r>
        <w:t>Treatment should be reviewed against measurable outcomes such as pain score, function, sleep, opioid-sparing effect, quality of life and adverse effects. If there is no meaningful clinical benefit after an adequate trial, therapy should be reassessed.</w:t>
      </w:r>
    </w:p>
    <w:p w14:paraId="587135FC" w14:textId="77777777" w:rsidR="002142C8" w:rsidRDefault="00313558">
      <w:pPr>
        <w:pStyle w:val="Heading1"/>
      </w:pPr>
      <w:r>
        <w:t>Suggested Prescriber Wording</w:t>
      </w:r>
    </w:p>
    <w:tbl>
      <w:tblPr>
        <w:tblW w:w="0" w:type="auto"/>
        <w:tblLook w:val="04A0" w:firstRow="1" w:lastRow="0" w:firstColumn="1" w:lastColumn="0" w:noHBand="0" w:noVBand="1"/>
      </w:tblPr>
      <w:tblGrid>
        <w:gridCol w:w="10224"/>
      </w:tblGrid>
      <w:tr w:rsidR="002142C8" w14:paraId="13BB8081" w14:textId="77777777">
        <w:tc>
          <w:tcPr>
            <w:tcW w:w="10224" w:type="dxa"/>
            <w:shd w:val="clear" w:color="auto" w:fill="F3F6F7"/>
            <w:tcMar>
              <w:top w:w="140" w:type="dxa"/>
              <w:left w:w="160" w:type="dxa"/>
              <w:bottom w:w="140" w:type="dxa"/>
              <w:right w:w="160" w:type="dxa"/>
            </w:tcMar>
          </w:tcPr>
          <w:p w14:paraId="0A30F88A" w14:textId="77777777" w:rsidR="002142C8" w:rsidRDefault="00313558">
            <w:r>
              <w:rPr>
                <w:sz w:val="18"/>
              </w:rPr>
              <w:t xml:space="preserve">Ketamine troches may be compounded in strengths such as 25 mg, 50 mg or 100 mg for selected patients with refractory neuropathic or mixed chronic pain. Dosing should start low and be titrated cautiously according to response and tolerability. Higher-strength or high-frequency regimens should generally be reserved for specialist-directed or experienced prescriber use. Ketamine troches should not be promoted as routine first-line analgesics. They are best positioned as an alternative option for </w:t>
            </w:r>
            <w:r>
              <w:rPr>
                <w:sz w:val="18"/>
              </w:rPr>
              <w:lastRenderedPageBreak/>
              <w:t>selected refractory chronic pain or neuropathic pain patients, with clear monitoring and review.</w:t>
            </w:r>
          </w:p>
        </w:tc>
      </w:tr>
    </w:tbl>
    <w:p w14:paraId="1B3D9B73" w14:textId="77777777" w:rsidR="002142C8" w:rsidRDefault="00313558">
      <w:pPr>
        <w:pStyle w:val="Heading1"/>
      </w:pPr>
      <w:r>
        <w:lastRenderedPageBreak/>
        <w:t>References</w:t>
      </w:r>
    </w:p>
    <w:p w14:paraId="2581424D" w14:textId="77777777" w:rsidR="002142C8" w:rsidRDefault="00313558">
      <w:pPr>
        <w:pStyle w:val="ListNumber"/>
        <w:spacing w:after="80"/>
      </w:pPr>
      <w:r>
        <w:rPr>
          <w:sz w:val="17"/>
        </w:rPr>
        <w:t>Maudlin B, et al. Long-term safety and efficacy of sublingual ketamine troches/lozenges in chronic non-malignant pain: a retrospective case-series analysis. PubMed PMID: 34092024. Available from: https://pubmed.ncbi.nlm.nih.gov/34092024/</w:t>
      </w:r>
    </w:p>
    <w:p w14:paraId="6AD94E4D" w14:textId="77777777" w:rsidR="002142C8" w:rsidRDefault="00313558">
      <w:pPr>
        <w:pStyle w:val="ListNumber"/>
        <w:spacing w:after="80"/>
      </w:pPr>
      <w:r>
        <w:rPr>
          <w:sz w:val="17"/>
        </w:rPr>
        <w:t>Chong C, Schug SA, Page-Sharp M, Jenkins B, Ilett KF. Development of a sublingual/oral formulation of ketamine for use in neuropathic pain: preliminary findings from a three-way randomized, crossover study. Clin Drug Investig. 2009;29(5):317-324. Available from: https://pubmed.ncbi.nlm.nih.gov/19366273/</w:t>
      </w:r>
    </w:p>
    <w:p w14:paraId="2D9DC102" w14:textId="77777777" w:rsidR="002142C8" w:rsidRDefault="00313558">
      <w:pPr>
        <w:pStyle w:val="ListNumber"/>
        <w:spacing w:after="80"/>
      </w:pPr>
      <w:r>
        <w:rPr>
          <w:sz w:val="17"/>
        </w:rPr>
        <w:t>Chong C, Schug SA, Page-Sharp M, Ilett KF. Bioavailability of ketamine after oral or sublingual administration. Pain Medicine. 2006;7(5):469. Available from: https://academic.oup.com/painmedicine/article/7/5/469/1855020</w:t>
      </w:r>
    </w:p>
    <w:p w14:paraId="180225E6" w14:textId="77777777" w:rsidR="002142C8" w:rsidRDefault="00313558">
      <w:pPr>
        <w:pStyle w:val="ListNumber"/>
        <w:spacing w:after="80"/>
      </w:pPr>
      <w:r>
        <w:rPr>
          <w:sz w:val="17"/>
        </w:rPr>
        <w:t>Rolan P, Lim S, Sunderland V, Liu Y, Molnar V. The absolute bioavailability of racemic ketamine from a novel sublingual formulation. Br J Clin Pharmacol. 2014;77(6):1011-1016. Available from: https://pmc.ncbi.nlm.nih.gov/articles/PMC4093926/</w:t>
      </w:r>
    </w:p>
    <w:p w14:paraId="25749690" w14:textId="77777777" w:rsidR="002142C8" w:rsidRDefault="00313558">
      <w:pPr>
        <w:pStyle w:val="ListNumber"/>
        <w:spacing w:after="80"/>
      </w:pPr>
      <w:r>
        <w:rPr>
          <w:sz w:val="17"/>
        </w:rPr>
        <w:t>University of Illinois Chicago Drug Information Group. What is the role of oral ketamine in pain management? July 2022. Available from: https://dig.pharmacy.uic.edu/faqs/2022-2/july-2022-faqs/what-is-the-role-of-oral-ketamine-in-pain-management/</w:t>
      </w:r>
    </w:p>
    <w:p w14:paraId="04C0DA06" w14:textId="77777777" w:rsidR="002142C8" w:rsidRDefault="00313558">
      <w:pPr>
        <w:pStyle w:val="ListNumber"/>
        <w:spacing w:after="80"/>
      </w:pPr>
      <w:r>
        <w:rPr>
          <w:sz w:val="17"/>
        </w:rPr>
        <w:t>Israel JE, St Pierre S, Ellis E, et al. Ketamine for the treatment of chronic pain: a comprehensive review. Health Psychology Research. 2021;9(1):25535. Available from: https://pmc.ncbi.nlm.nih.gov/articles/PMC8567802/</w:t>
      </w:r>
    </w:p>
    <w:p w14:paraId="7578C522" w14:textId="77777777" w:rsidR="002142C8" w:rsidRDefault="00313558">
      <w:pPr>
        <w:pStyle w:val="ListNumber"/>
        <w:spacing w:after="80"/>
      </w:pPr>
      <w:r>
        <w:rPr>
          <w:sz w:val="17"/>
        </w:rPr>
        <w:t xml:space="preserve">Schwenk ES, Viscusi ER, Buvanendran A, et al. Consensus guidelines on the use of intravenous ketamine </w:t>
      </w:r>
      <w:r>
        <w:rPr>
          <w:sz w:val="17"/>
        </w:rPr>
        <w:t>infusions for acute pain management. Regional Anesthesia &amp; Pain Medicine. 2018;43(5):456-466. Available from: https://pmc.ncbi.nlm.nih.gov/articles/PMC6023582/</w:t>
      </w:r>
    </w:p>
    <w:p w14:paraId="352FA8F5" w14:textId="77777777" w:rsidR="002142C8" w:rsidRDefault="00313558">
      <w:pPr>
        <w:pStyle w:val="Heading1"/>
      </w:pPr>
      <w:r>
        <w:t>Document Note</w:t>
      </w:r>
    </w:p>
    <w:p w14:paraId="00717F5F" w14:textId="77777777" w:rsidR="002142C8" w:rsidRDefault="00313558">
      <w:pPr>
        <w:spacing w:line="259" w:lineRule="auto"/>
      </w:pPr>
      <w:r>
        <w:t>Prepared for doctor-only website use. This information is general in nature and should be applied only after patient-specific clinical assessment. Local prescribing, compounding, scheduling, controlled substance and professional requirements must be followed.</w:t>
      </w:r>
    </w:p>
    <w:sectPr w:rsidR="002142C8" w:rsidSect="00034616">
      <w:headerReference w:type="default" r:id="rId8"/>
      <w:footerReference w:type="default" r:id="rId9"/>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22302" w14:textId="77777777" w:rsidR="00313558" w:rsidRDefault="00313558">
      <w:pPr>
        <w:spacing w:after="0" w:line="240" w:lineRule="auto"/>
      </w:pPr>
      <w:r>
        <w:separator/>
      </w:r>
    </w:p>
  </w:endnote>
  <w:endnote w:type="continuationSeparator" w:id="0">
    <w:p w14:paraId="6429A375" w14:textId="77777777" w:rsidR="00313558" w:rsidRDefault="0031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553B" w14:textId="77777777" w:rsidR="002142C8" w:rsidRDefault="00313558">
    <w:pPr>
      <w:pStyle w:val="Footer"/>
      <w:jc w:val="center"/>
    </w:pPr>
    <w:r>
      <w:rPr>
        <w:color w:val="646464"/>
        <w:sz w:val="16"/>
      </w:rPr>
      <w:t>Doctor-only information. Not intended for patient advertising or self-selection.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063A4" w14:textId="77777777" w:rsidR="00313558" w:rsidRDefault="00313558">
      <w:pPr>
        <w:spacing w:after="0" w:line="240" w:lineRule="auto"/>
      </w:pPr>
      <w:r>
        <w:separator/>
      </w:r>
    </w:p>
  </w:footnote>
  <w:footnote w:type="continuationSeparator" w:id="0">
    <w:p w14:paraId="2CAC31B2" w14:textId="77777777" w:rsidR="00313558" w:rsidRDefault="00313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F5CB3" w14:textId="77777777" w:rsidR="002142C8" w:rsidRDefault="00313558">
    <w:pPr>
      <w:pStyle w:val="Header"/>
      <w:jc w:val="right"/>
    </w:pPr>
    <w:r>
      <w:rPr>
        <w:color w:val="646464"/>
        <w:sz w:val="16"/>
      </w:rPr>
      <w:t>Healthcare Professional Information Only | Ketamine Troches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9772345">
    <w:abstractNumId w:val="8"/>
  </w:num>
  <w:num w:numId="2" w16cid:durableId="504900723">
    <w:abstractNumId w:val="6"/>
  </w:num>
  <w:num w:numId="3" w16cid:durableId="1414812876">
    <w:abstractNumId w:val="5"/>
  </w:num>
  <w:num w:numId="4" w16cid:durableId="624119450">
    <w:abstractNumId w:val="4"/>
  </w:num>
  <w:num w:numId="5" w16cid:durableId="282463366">
    <w:abstractNumId w:val="7"/>
  </w:num>
  <w:num w:numId="6" w16cid:durableId="146167819">
    <w:abstractNumId w:val="3"/>
  </w:num>
  <w:num w:numId="7" w16cid:durableId="2024042027">
    <w:abstractNumId w:val="2"/>
  </w:num>
  <w:num w:numId="8" w16cid:durableId="561985685">
    <w:abstractNumId w:val="1"/>
  </w:num>
  <w:num w:numId="9" w16cid:durableId="21620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42C8"/>
    <w:rsid w:val="0029639D"/>
    <w:rsid w:val="00313558"/>
    <w:rsid w:val="00326F90"/>
    <w:rsid w:val="00AA1D8D"/>
    <w:rsid w:val="00B47730"/>
    <w:rsid w:val="00B963C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118A3"/>
  <w14:defaultImageDpi w14:val="300"/>
  <w15:docId w15:val="{2C8C7278-0B09-46C1-AF8E-EA2BCCA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5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64646"/>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64646"/>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5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Ketamine Troches - Prescriber Information</dc:title>
  <dc:subject>Doctor-only prescriber information for chronic pain and neuropathic pain management</dc:subject>
  <dc:creator>Heywood Compounding</dc:creator>
  <cp:keywords>ketamine troche, chronic pain, neuropathic pain, compounding, prescriber information</cp:keywords>
  <dc:description>generated by python-docx</dc:description>
  <cp:lastModifiedBy>Jeremy Chan</cp:lastModifiedBy>
  <cp:revision>2</cp:revision>
  <dcterms:created xsi:type="dcterms:W3CDTF">2026-06-14T07:15:00Z</dcterms:created>
  <dcterms:modified xsi:type="dcterms:W3CDTF">2026-06-14T07:15:00Z</dcterms:modified>
  <cp:category/>
</cp:coreProperties>
</file>