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2992F" w14:textId="751AF398" w:rsidR="00102280" w:rsidRDefault="00FB1280">
      <w:pPr>
        <w:pStyle w:val="Title"/>
        <w:spacing w:after="120" w:line="252" w:lineRule="auto"/>
        <w:jc w:val="center"/>
      </w:pPr>
      <w:r>
        <w:t>Healthcare Professional Information</w:t>
      </w:r>
      <w:r>
        <w:br/>
        <w:t xml:space="preserve">Topical Options </w:t>
      </w:r>
      <w:r w:rsidR="00295136" w:rsidRPr="00295136">
        <w:t>for Neuropathic Pain</w:t>
      </w:r>
    </w:p>
    <w:p w14:paraId="713B6B27" w14:textId="77777777" w:rsidR="00102280" w:rsidRDefault="00FB1280">
      <w:pPr>
        <w:spacing w:after="120" w:line="252" w:lineRule="auto"/>
        <w:jc w:val="center"/>
      </w:pPr>
      <w:r>
        <w:rPr>
          <w:i/>
          <w:sz w:val="21"/>
        </w:rPr>
        <w:t>Compounded topical options for localised neuropathic pain | Prescriber information - healthcare professionals only</w:t>
      </w:r>
    </w:p>
    <w:tbl>
      <w:tblPr>
        <w:tblStyle w:val="TableGrid"/>
        <w:tblW w:w="0" w:type="auto"/>
        <w:tblLook w:val="04A0" w:firstRow="1" w:lastRow="0" w:firstColumn="1" w:lastColumn="0" w:noHBand="0" w:noVBand="1"/>
      </w:tblPr>
      <w:tblGrid>
        <w:gridCol w:w="10358"/>
      </w:tblGrid>
      <w:tr w:rsidR="00102280" w14:paraId="2C2AB1A9" w14:textId="77777777">
        <w:tc>
          <w:tcPr>
            <w:tcW w:w="10368" w:type="dxa"/>
            <w:shd w:val="clear" w:color="auto" w:fill="EAF2F8"/>
          </w:tcPr>
          <w:p w14:paraId="0F8AA82A" w14:textId="77777777" w:rsidR="00102280" w:rsidRDefault="00FB1280">
            <w:r>
              <w:rPr>
                <w:b/>
                <w:color w:val="1F4E79"/>
                <w:sz w:val="21"/>
              </w:rPr>
              <w:t>Suggested use</w:t>
            </w:r>
          </w:p>
          <w:p w14:paraId="55620370" w14:textId="77777777" w:rsidR="00102280" w:rsidRDefault="00FB1280">
            <w:r>
              <w:rPr>
                <w:sz w:val="19"/>
              </w:rPr>
              <w:t>Restricted clinician-only webpage, downloadable prescriber information sheet, or GP discussion handout.</w:t>
            </w:r>
          </w:p>
        </w:tc>
      </w:tr>
    </w:tbl>
    <w:p w14:paraId="7CEE6F4A" w14:textId="77777777" w:rsidR="00102280" w:rsidRDefault="00102280">
      <w:pPr>
        <w:spacing w:after="120" w:line="252" w:lineRule="auto"/>
      </w:pPr>
    </w:p>
    <w:tbl>
      <w:tblPr>
        <w:tblStyle w:val="TableGrid"/>
        <w:tblW w:w="0" w:type="auto"/>
        <w:tblLook w:val="04A0" w:firstRow="1" w:lastRow="0" w:firstColumn="1" w:lastColumn="0" w:noHBand="0" w:noVBand="1"/>
      </w:tblPr>
      <w:tblGrid>
        <w:gridCol w:w="10358"/>
      </w:tblGrid>
      <w:tr w:rsidR="00102280" w14:paraId="4442C12B" w14:textId="77777777">
        <w:tc>
          <w:tcPr>
            <w:tcW w:w="10368" w:type="dxa"/>
            <w:shd w:val="clear" w:color="auto" w:fill="FFF2CC"/>
          </w:tcPr>
          <w:p w14:paraId="62307459" w14:textId="77777777" w:rsidR="00102280" w:rsidRDefault="00FB1280">
            <w:r>
              <w:rPr>
                <w:b/>
                <w:color w:val="1F4E79"/>
                <w:sz w:val="21"/>
              </w:rPr>
              <w:t>Important</w:t>
            </w:r>
          </w:p>
          <w:p w14:paraId="77EC6DF1" w14:textId="77777777" w:rsidR="00102280" w:rsidRDefault="00FB1280">
            <w:r>
              <w:rPr>
                <w:sz w:val="19"/>
              </w:rPr>
              <w:t>Neuropathic pain requires appropriate clinical assessment, diagnosis and review of underlying cause. Compounded topical therapy should be considered only after assessment of pain type, distribution, neurological signs, comorbidities, medication history, allergy status, renal function where relevant, pregnancy status, and treatment goals. Compounded products should be prescribed where a commercially available product is unsuitable for the patient's clinical need, formulation requirement, tolerability, adherence or individualised management plan.</w:t>
            </w:r>
          </w:p>
        </w:tc>
      </w:tr>
    </w:tbl>
    <w:p w14:paraId="4FF969F5" w14:textId="77777777" w:rsidR="00102280" w:rsidRDefault="00102280">
      <w:pPr>
        <w:spacing w:after="120" w:line="252" w:lineRule="auto"/>
      </w:pPr>
    </w:p>
    <w:p w14:paraId="2E62C5F4" w14:textId="77777777" w:rsidR="00102280" w:rsidRDefault="00FB1280">
      <w:pPr>
        <w:pStyle w:val="Heading1"/>
        <w:spacing w:after="120" w:line="252" w:lineRule="auto"/>
      </w:pPr>
      <w:r>
        <w:t>Executive summary</w:t>
      </w:r>
    </w:p>
    <w:p w14:paraId="1E50F557" w14:textId="77777777" w:rsidR="00102280" w:rsidRDefault="00FB1280">
      <w:pPr>
        <w:spacing w:after="120" w:line="252" w:lineRule="auto"/>
      </w:pPr>
      <w:r>
        <w:t>Localised neuropathic pain may present as burning, shooting, electric-shock pain, allodynia, hyperalgesia, numbness, tingling or superficial pain sensitivity. Examples may include localised diabetic neuropathy-type pain, post-herpetic neuralgia-type pain, scar-related neuropathic pain, nerve entrapment-type symptoms, or mixed nociceptive/neuropathic presentations.</w:t>
      </w:r>
    </w:p>
    <w:p w14:paraId="22E0B9F6" w14:textId="77777777" w:rsidR="00102280" w:rsidRDefault="00FB1280">
      <w:pPr>
        <w:spacing w:after="120" w:line="252" w:lineRule="auto"/>
      </w:pPr>
      <w:r>
        <w:t>Topical compounded therapy may be considered where pain is localised, the target area is accessible, and the prescriber wishes to trial local therapy to reduce reliance on systemic medicines. Evidence for many compounded topical neuropathic pain combinations remains limited and mixed; these formulations should be positioned as prescriber-directed individualised therapeutic trials with review of benefit and tolerability.</w:t>
      </w:r>
    </w:p>
    <w:p w14:paraId="224AE46A" w14:textId="77777777" w:rsidR="00102280" w:rsidRDefault="00FB1280">
      <w:pPr>
        <w:spacing w:after="120" w:line="252" w:lineRule="auto"/>
      </w:pPr>
      <w:r>
        <w:t>Heywood Compounding can prepare individualised topical formulations containing ingredients such as amitriptyline, gabapentin, lidocaine, menthol, ketoprofen, cyclobenzaprine and ketamine according to the prescriber's directions.</w:t>
      </w:r>
    </w:p>
    <w:p w14:paraId="2E298C61" w14:textId="77777777" w:rsidR="00102280" w:rsidRDefault="00FB1280">
      <w:pPr>
        <w:pStyle w:val="Heading1"/>
        <w:spacing w:after="120" w:line="252" w:lineRule="auto"/>
      </w:pPr>
      <w:r>
        <w:t>Clinical context</w:t>
      </w:r>
    </w:p>
    <w:p w14:paraId="0AFB1EDD" w14:textId="77777777" w:rsidR="00102280" w:rsidRDefault="00FB1280">
      <w:pPr>
        <w:spacing w:after="120" w:line="252" w:lineRule="auto"/>
      </w:pPr>
      <w:r>
        <w:t>Neuropathic pain may involve peripheral nerve injury, altered nociceptive signalling, central sensitisation, inflammatory components or mixed pain mechanisms. Topical therapy is most suitable where symptoms are localised rather than widespread.</w:t>
      </w:r>
    </w:p>
    <w:p w14:paraId="5EDBAB8C" w14:textId="77777777" w:rsidR="00102280" w:rsidRDefault="00FB1280">
      <w:pPr>
        <w:spacing w:after="120" w:line="252" w:lineRule="auto"/>
      </w:pPr>
      <w:r>
        <w:t>Clinical features suggesting a neuropathic component may include:</w:t>
      </w:r>
    </w:p>
    <w:p w14:paraId="2C50FA98" w14:textId="77777777" w:rsidR="00102280" w:rsidRDefault="00FB1280">
      <w:pPr>
        <w:pStyle w:val="ListBullet"/>
        <w:spacing w:after="120" w:line="252" w:lineRule="auto"/>
      </w:pPr>
      <w:r>
        <w:t>Burning pain</w:t>
      </w:r>
    </w:p>
    <w:p w14:paraId="39AA5FCD" w14:textId="77777777" w:rsidR="00102280" w:rsidRDefault="00FB1280">
      <w:pPr>
        <w:pStyle w:val="ListBullet"/>
        <w:spacing w:after="120" w:line="252" w:lineRule="auto"/>
      </w:pPr>
      <w:r>
        <w:t>Shooting or electric pain</w:t>
      </w:r>
    </w:p>
    <w:p w14:paraId="582A195B" w14:textId="77777777" w:rsidR="00102280" w:rsidRDefault="00FB1280">
      <w:pPr>
        <w:pStyle w:val="ListBullet"/>
        <w:spacing w:after="120" w:line="252" w:lineRule="auto"/>
      </w:pPr>
      <w:r>
        <w:t>Pins and needles</w:t>
      </w:r>
    </w:p>
    <w:p w14:paraId="621BA8C0" w14:textId="77777777" w:rsidR="00102280" w:rsidRDefault="00FB1280">
      <w:pPr>
        <w:pStyle w:val="ListBullet"/>
        <w:spacing w:after="120" w:line="252" w:lineRule="auto"/>
      </w:pPr>
      <w:r>
        <w:t>Numbness or tingling</w:t>
      </w:r>
    </w:p>
    <w:p w14:paraId="5A25AEC8" w14:textId="77777777" w:rsidR="00102280" w:rsidRDefault="00FB1280">
      <w:pPr>
        <w:pStyle w:val="ListBullet"/>
        <w:spacing w:after="120" w:line="252" w:lineRule="auto"/>
      </w:pPr>
      <w:r>
        <w:t>Pain from light touch, clothing or bedsheets</w:t>
      </w:r>
    </w:p>
    <w:p w14:paraId="72AF111C" w14:textId="77777777" w:rsidR="00102280" w:rsidRDefault="00FB1280">
      <w:pPr>
        <w:pStyle w:val="ListBullet"/>
        <w:spacing w:after="120" w:line="252" w:lineRule="auto"/>
      </w:pPr>
      <w:r>
        <w:t>Hyperalgesia</w:t>
      </w:r>
    </w:p>
    <w:p w14:paraId="413052F0" w14:textId="77777777" w:rsidR="00102280" w:rsidRDefault="00FB1280">
      <w:pPr>
        <w:pStyle w:val="ListBullet"/>
        <w:spacing w:after="120" w:line="252" w:lineRule="auto"/>
      </w:pPr>
      <w:r>
        <w:t>Post-herpetic neuralgia-type symptoms</w:t>
      </w:r>
    </w:p>
    <w:p w14:paraId="75EA8D16" w14:textId="77777777" w:rsidR="00102280" w:rsidRDefault="00FB1280">
      <w:pPr>
        <w:pStyle w:val="ListBullet"/>
        <w:spacing w:after="120" w:line="252" w:lineRule="auto"/>
      </w:pPr>
      <w:r>
        <w:t>Diabetic neuropathy-type symptoms</w:t>
      </w:r>
    </w:p>
    <w:p w14:paraId="42338545" w14:textId="77777777" w:rsidR="00102280" w:rsidRDefault="00FB1280">
      <w:pPr>
        <w:pStyle w:val="ListBullet"/>
        <w:spacing w:after="120" w:line="252" w:lineRule="auto"/>
      </w:pPr>
      <w:r>
        <w:t>Scar or post-surgical local nerve pain</w:t>
      </w:r>
    </w:p>
    <w:p w14:paraId="4D8C80B5" w14:textId="77777777" w:rsidR="00102280" w:rsidRDefault="00FB1280">
      <w:pPr>
        <w:pStyle w:val="ListBullet"/>
        <w:spacing w:after="120" w:line="252" w:lineRule="auto"/>
      </w:pPr>
      <w:r>
        <w:t>Mixed pain with muscular or inflammatory features</w:t>
      </w:r>
    </w:p>
    <w:p w14:paraId="22327506" w14:textId="77777777" w:rsidR="00102280" w:rsidRDefault="00FB1280">
      <w:pPr>
        <w:spacing w:after="120" w:line="252" w:lineRule="auto"/>
      </w:pPr>
      <w:r>
        <w:lastRenderedPageBreak/>
        <w:t>Topical compounded therapy should generally be combined with management of the underlying condition, functional rehabilitation where appropriate, foot care in diabetes, medication review and monitoring of neurological progression or red flags.</w:t>
      </w:r>
    </w:p>
    <w:p w14:paraId="04C035C9" w14:textId="77777777" w:rsidR="00102280" w:rsidRDefault="00FB1280">
      <w:pPr>
        <w:pStyle w:val="Heading1"/>
        <w:spacing w:after="120" w:line="252" w:lineRule="auto"/>
      </w:pPr>
      <w:r>
        <w:t>Treatment options at a glance</w:t>
      </w:r>
    </w:p>
    <w:tbl>
      <w:tblPr>
        <w:tblStyle w:val="TableGrid"/>
        <w:tblW w:w="0" w:type="auto"/>
        <w:jc w:val="center"/>
        <w:tblLook w:val="04A0" w:firstRow="1" w:lastRow="0" w:firstColumn="1" w:lastColumn="0" w:noHBand="0" w:noVBand="1"/>
      </w:tblPr>
      <w:tblGrid>
        <w:gridCol w:w="1646"/>
        <w:gridCol w:w="3707"/>
        <w:gridCol w:w="3356"/>
        <w:gridCol w:w="1649"/>
      </w:tblGrid>
      <w:tr w:rsidR="00102280" w14:paraId="7D985E68" w14:textId="77777777">
        <w:trPr>
          <w:tblHeader/>
          <w:jc w:val="center"/>
        </w:trPr>
        <w:tc>
          <w:tcPr>
            <w:tcW w:w="1656" w:type="dxa"/>
            <w:shd w:val="clear" w:color="auto" w:fill="1F4E79"/>
            <w:vAlign w:val="center"/>
          </w:tcPr>
          <w:p w14:paraId="5CDC01E3" w14:textId="77777777" w:rsidR="00102280" w:rsidRDefault="00FB1280">
            <w:r>
              <w:rPr>
                <w:b/>
                <w:color w:val="FFFFFF"/>
              </w:rPr>
              <w:t>Step</w:t>
            </w:r>
          </w:p>
        </w:tc>
        <w:tc>
          <w:tcPr>
            <w:tcW w:w="3744" w:type="dxa"/>
            <w:shd w:val="clear" w:color="auto" w:fill="1F4E79"/>
            <w:vAlign w:val="center"/>
          </w:tcPr>
          <w:p w14:paraId="7F413F32" w14:textId="77777777" w:rsidR="00102280" w:rsidRDefault="00FB1280">
            <w:r>
              <w:rPr>
                <w:b/>
                <w:color w:val="FFFFFF"/>
              </w:rPr>
              <w:t>Formula</w:t>
            </w:r>
          </w:p>
        </w:tc>
        <w:tc>
          <w:tcPr>
            <w:tcW w:w="3384" w:type="dxa"/>
            <w:shd w:val="clear" w:color="auto" w:fill="1F4E79"/>
            <w:vAlign w:val="center"/>
          </w:tcPr>
          <w:p w14:paraId="05226A49" w14:textId="77777777" w:rsidR="00102280" w:rsidRDefault="00FB1280">
            <w:r>
              <w:rPr>
                <w:b/>
                <w:color w:val="FFFFFF"/>
              </w:rPr>
              <w:t>Best clinical fit</w:t>
            </w:r>
          </w:p>
        </w:tc>
        <w:tc>
          <w:tcPr>
            <w:tcW w:w="1656" w:type="dxa"/>
            <w:shd w:val="clear" w:color="auto" w:fill="1F4E79"/>
            <w:vAlign w:val="center"/>
          </w:tcPr>
          <w:p w14:paraId="14543595" w14:textId="77777777" w:rsidR="00102280" w:rsidRDefault="00FB1280">
            <w:r>
              <w:rPr>
                <w:b/>
                <w:color w:val="FFFFFF"/>
              </w:rPr>
              <w:t>Suggested review</w:t>
            </w:r>
          </w:p>
        </w:tc>
      </w:tr>
      <w:tr w:rsidR="00102280" w14:paraId="7C8D5E79" w14:textId="77777777">
        <w:trPr>
          <w:jc w:val="center"/>
        </w:trPr>
        <w:tc>
          <w:tcPr>
            <w:tcW w:w="1656" w:type="dxa"/>
          </w:tcPr>
          <w:p w14:paraId="596AAE58" w14:textId="77777777" w:rsidR="00102280" w:rsidRDefault="00FB1280">
            <w:r>
              <w:rPr>
                <w:sz w:val="18"/>
              </w:rPr>
              <w:t>Starting option</w:t>
            </w:r>
          </w:p>
        </w:tc>
        <w:tc>
          <w:tcPr>
            <w:tcW w:w="3744" w:type="dxa"/>
          </w:tcPr>
          <w:p w14:paraId="6CAF5BD4" w14:textId="77777777" w:rsidR="00102280" w:rsidRDefault="00FB1280">
            <w:r>
              <w:rPr>
                <w:sz w:val="18"/>
              </w:rPr>
              <w:t>Amitriptyline 2-5% + Gabapentin 5% + Menthol 2% in VersaPro Cream</w:t>
            </w:r>
          </w:p>
        </w:tc>
        <w:tc>
          <w:tcPr>
            <w:tcW w:w="3384" w:type="dxa"/>
          </w:tcPr>
          <w:p w14:paraId="1E62C981" w14:textId="77777777" w:rsidR="00102280" w:rsidRDefault="00FB1280">
            <w:r>
              <w:rPr>
                <w:sz w:val="18"/>
              </w:rPr>
              <w:t>Localised neuropathic symptoms such as burning, tingling or allodynia where a conservative topical trial is appropriate.</w:t>
            </w:r>
          </w:p>
        </w:tc>
        <w:tc>
          <w:tcPr>
            <w:tcW w:w="1656" w:type="dxa"/>
          </w:tcPr>
          <w:p w14:paraId="4ED92C82" w14:textId="77777777" w:rsidR="00102280" w:rsidRDefault="00FB1280">
            <w:r>
              <w:rPr>
                <w:sz w:val="18"/>
              </w:rPr>
              <w:t>Review after 2-4 weeks.</w:t>
            </w:r>
          </w:p>
        </w:tc>
      </w:tr>
      <w:tr w:rsidR="00102280" w14:paraId="01139634" w14:textId="77777777">
        <w:trPr>
          <w:jc w:val="center"/>
        </w:trPr>
        <w:tc>
          <w:tcPr>
            <w:tcW w:w="1656" w:type="dxa"/>
          </w:tcPr>
          <w:p w14:paraId="566E53B2" w14:textId="77777777" w:rsidR="00102280" w:rsidRDefault="00FB1280">
            <w:r>
              <w:rPr>
                <w:sz w:val="18"/>
              </w:rPr>
              <w:t>Step-up option</w:t>
            </w:r>
          </w:p>
        </w:tc>
        <w:tc>
          <w:tcPr>
            <w:tcW w:w="3744" w:type="dxa"/>
          </w:tcPr>
          <w:p w14:paraId="618DCAB9" w14:textId="77777777" w:rsidR="00102280" w:rsidRDefault="00FB1280">
            <w:r>
              <w:rPr>
                <w:sz w:val="18"/>
              </w:rPr>
              <w:t>Amitriptyline 5% + Gabapentin 5% + Lidocaine HCl 5% + Menthol 2% in VersaPro Cream +/- Cyclobenzaprine HCl 1-2%</w:t>
            </w:r>
          </w:p>
        </w:tc>
        <w:tc>
          <w:tcPr>
            <w:tcW w:w="3384" w:type="dxa"/>
          </w:tcPr>
          <w:p w14:paraId="17A70D1A" w14:textId="77777777" w:rsidR="00102280" w:rsidRDefault="00FB1280">
            <w:r>
              <w:rPr>
                <w:sz w:val="18"/>
              </w:rPr>
              <w:t>More prominent superficial pain sensitivity or allodynia; add cyclobenzaprine only if myofascial tightness/spasm coexists.</w:t>
            </w:r>
          </w:p>
        </w:tc>
        <w:tc>
          <w:tcPr>
            <w:tcW w:w="1656" w:type="dxa"/>
          </w:tcPr>
          <w:p w14:paraId="7EAE5584" w14:textId="77777777" w:rsidR="00102280" w:rsidRDefault="00FB1280">
            <w:r>
              <w:rPr>
                <w:sz w:val="18"/>
              </w:rPr>
              <w:t>Review after 2-4 weeks.</w:t>
            </w:r>
          </w:p>
        </w:tc>
      </w:tr>
      <w:tr w:rsidR="00102280" w14:paraId="563FC7B7" w14:textId="77777777">
        <w:trPr>
          <w:jc w:val="center"/>
        </w:trPr>
        <w:tc>
          <w:tcPr>
            <w:tcW w:w="1656" w:type="dxa"/>
          </w:tcPr>
          <w:p w14:paraId="6775F612" w14:textId="77777777" w:rsidR="00102280" w:rsidRDefault="00FB1280">
            <w:r>
              <w:rPr>
                <w:sz w:val="18"/>
              </w:rPr>
              <w:t>Mixed-pain option</w:t>
            </w:r>
          </w:p>
        </w:tc>
        <w:tc>
          <w:tcPr>
            <w:tcW w:w="3744" w:type="dxa"/>
          </w:tcPr>
          <w:p w14:paraId="336DFEB0" w14:textId="77777777" w:rsidR="00102280" w:rsidRDefault="00FB1280">
            <w:r>
              <w:rPr>
                <w:sz w:val="18"/>
              </w:rPr>
              <w:t>Amitriptyline HCl 2% + Gabapentin 2% + Ketoprofen 10% + Lidocaine HCl 5% + Menthol 2% in VersaPro Cream</w:t>
            </w:r>
          </w:p>
        </w:tc>
        <w:tc>
          <w:tcPr>
            <w:tcW w:w="3384" w:type="dxa"/>
          </w:tcPr>
          <w:p w14:paraId="1DD06554" w14:textId="77777777" w:rsidR="00102280" w:rsidRDefault="00FB1280">
            <w:r>
              <w:rPr>
                <w:sz w:val="18"/>
              </w:rPr>
              <w:t>Localised nerve pain with suspected inflammatory, muscular or overuse component.</w:t>
            </w:r>
          </w:p>
        </w:tc>
        <w:tc>
          <w:tcPr>
            <w:tcW w:w="1656" w:type="dxa"/>
          </w:tcPr>
          <w:p w14:paraId="5ECC149E" w14:textId="77777777" w:rsidR="00102280" w:rsidRDefault="00FB1280">
            <w:r>
              <w:rPr>
                <w:sz w:val="18"/>
              </w:rPr>
              <w:t>Review earlier if acute inflammatory pain; otherwise 2-4 weeks.</w:t>
            </w:r>
          </w:p>
        </w:tc>
      </w:tr>
      <w:tr w:rsidR="00102280" w14:paraId="655B9FDF" w14:textId="77777777">
        <w:trPr>
          <w:jc w:val="center"/>
        </w:trPr>
        <w:tc>
          <w:tcPr>
            <w:tcW w:w="1656" w:type="dxa"/>
          </w:tcPr>
          <w:p w14:paraId="67DD9AE9" w14:textId="77777777" w:rsidR="00102280" w:rsidRDefault="00FB1280">
            <w:r>
              <w:rPr>
                <w:sz w:val="18"/>
              </w:rPr>
              <w:t>Advanced option</w:t>
            </w:r>
          </w:p>
        </w:tc>
        <w:tc>
          <w:tcPr>
            <w:tcW w:w="3744" w:type="dxa"/>
          </w:tcPr>
          <w:p w14:paraId="3B8CB7E8" w14:textId="77777777" w:rsidR="00102280" w:rsidRDefault="00FB1280">
            <w:r>
              <w:rPr>
                <w:sz w:val="18"/>
              </w:rPr>
              <w:t>Gabapentin 5% + Ketamine HCl 11.5% + Ketoprofen 10% + Lidocaine HCl 5% + Menthol 2% in VersaPro Cream</w:t>
            </w:r>
          </w:p>
        </w:tc>
        <w:tc>
          <w:tcPr>
            <w:tcW w:w="3384" w:type="dxa"/>
          </w:tcPr>
          <w:p w14:paraId="20782244" w14:textId="77777777" w:rsidR="00102280" w:rsidRDefault="00FB1280">
            <w:r>
              <w:rPr>
                <w:sz w:val="18"/>
              </w:rPr>
              <w:t>Refractory or complex localised neuropathic/mixed pain after considering cost, area and monitoring.</w:t>
            </w:r>
          </w:p>
        </w:tc>
        <w:tc>
          <w:tcPr>
            <w:tcW w:w="1656" w:type="dxa"/>
          </w:tcPr>
          <w:p w14:paraId="3BC73C28" w14:textId="77777777" w:rsidR="00102280" w:rsidRDefault="00FB1280">
            <w:r>
              <w:rPr>
                <w:sz w:val="18"/>
              </w:rPr>
              <w:t>Review benefit, tolerability and affordability after 2-4 weeks.</w:t>
            </w:r>
          </w:p>
        </w:tc>
      </w:tr>
    </w:tbl>
    <w:p w14:paraId="071129F2" w14:textId="77777777" w:rsidR="00102280" w:rsidRDefault="00102280">
      <w:pPr>
        <w:spacing w:after="120" w:line="252" w:lineRule="auto"/>
      </w:pPr>
    </w:p>
    <w:p w14:paraId="3882ED06" w14:textId="77777777" w:rsidR="00102280" w:rsidRDefault="00FB1280">
      <w:pPr>
        <w:pStyle w:val="Heading2"/>
        <w:spacing w:after="120" w:line="252" w:lineRule="auto"/>
      </w:pPr>
      <w:r>
        <w:t>1. Starting option: localised neuropathic pain</w:t>
      </w:r>
    </w:p>
    <w:tbl>
      <w:tblPr>
        <w:tblStyle w:val="TableGrid"/>
        <w:tblW w:w="0" w:type="auto"/>
        <w:tblLook w:val="04A0" w:firstRow="1" w:lastRow="0" w:firstColumn="1" w:lastColumn="0" w:noHBand="0" w:noVBand="1"/>
      </w:tblPr>
      <w:tblGrid>
        <w:gridCol w:w="10358"/>
      </w:tblGrid>
      <w:tr w:rsidR="00102280" w14:paraId="5F833691" w14:textId="77777777">
        <w:tc>
          <w:tcPr>
            <w:tcW w:w="10368" w:type="dxa"/>
            <w:shd w:val="clear" w:color="auto" w:fill="F2F7FB"/>
          </w:tcPr>
          <w:p w14:paraId="11CBDD4B" w14:textId="77777777" w:rsidR="00102280" w:rsidRDefault="00FB1280">
            <w:r>
              <w:rPr>
                <w:b/>
                <w:color w:val="1F4E79"/>
                <w:sz w:val="21"/>
              </w:rPr>
              <w:t>Compounding treatment option</w:t>
            </w:r>
          </w:p>
          <w:p w14:paraId="54F53F1E" w14:textId="77777777" w:rsidR="00102280" w:rsidRDefault="00FB1280">
            <w:r>
              <w:rPr>
                <w:sz w:val="19"/>
              </w:rPr>
              <w:t>Amitriptyline 2-5% + Gabapentin 5% + Menthol 2% in VersaPro Cream</w:t>
            </w:r>
          </w:p>
        </w:tc>
      </w:tr>
    </w:tbl>
    <w:p w14:paraId="47D13C41" w14:textId="77777777" w:rsidR="00102280" w:rsidRDefault="00102280">
      <w:pPr>
        <w:spacing w:after="120" w:line="252" w:lineRule="auto"/>
      </w:pPr>
    </w:p>
    <w:p w14:paraId="410172D0" w14:textId="77777777" w:rsidR="00102280" w:rsidRDefault="00FB1280">
      <w:pPr>
        <w:spacing w:after="120" w:line="252" w:lineRule="auto"/>
      </w:pPr>
      <w:r>
        <w:rPr>
          <w:b/>
        </w:rPr>
        <w:t xml:space="preserve">Suggested clinical positioning: </w:t>
      </w:r>
      <w:r>
        <w:t>This formulation may be considered as an initial prescriber-directed topical option for selected patients with localised neuropathic pain, particularly where burning, tingling, allodynia or superficial nerve pain symptoms are present and oral neuropathic pain medicines are unsuitable, poorly tolerated or not preferred.</w:t>
      </w:r>
    </w:p>
    <w:p w14:paraId="6F9E704C" w14:textId="77777777" w:rsidR="00102280" w:rsidRDefault="00FB1280">
      <w:pPr>
        <w:spacing w:after="120" w:line="252" w:lineRule="auto"/>
      </w:pPr>
      <w:r>
        <w:rPr>
          <w:b/>
        </w:rPr>
        <w:t xml:space="preserve">Suggested directions: </w:t>
      </w:r>
      <w:r>
        <w:t>Apply a thin layer to the affected painful area two to three times daily for an initial 2-4 week therapeutic trial, then review response and tolerability.</w:t>
      </w:r>
    </w:p>
    <w:tbl>
      <w:tblPr>
        <w:tblStyle w:val="TableGrid"/>
        <w:tblW w:w="0" w:type="auto"/>
        <w:jc w:val="center"/>
        <w:tblLook w:val="04A0" w:firstRow="1" w:lastRow="0" w:firstColumn="1" w:lastColumn="0" w:noHBand="0" w:noVBand="1"/>
      </w:tblPr>
      <w:tblGrid>
        <w:gridCol w:w="2118"/>
        <w:gridCol w:w="2533"/>
        <w:gridCol w:w="5707"/>
      </w:tblGrid>
      <w:tr w:rsidR="00102280" w14:paraId="73F69EFE" w14:textId="77777777">
        <w:trPr>
          <w:tblHeader/>
          <w:jc w:val="center"/>
        </w:trPr>
        <w:tc>
          <w:tcPr>
            <w:tcW w:w="2160" w:type="dxa"/>
            <w:shd w:val="clear" w:color="auto" w:fill="1F4E79"/>
            <w:vAlign w:val="center"/>
          </w:tcPr>
          <w:p w14:paraId="2C47128A" w14:textId="77777777" w:rsidR="00102280" w:rsidRDefault="00FB1280">
            <w:r>
              <w:rPr>
                <w:b/>
                <w:color w:val="FFFFFF"/>
              </w:rPr>
              <w:t>Ingredient</w:t>
            </w:r>
          </w:p>
        </w:tc>
        <w:tc>
          <w:tcPr>
            <w:tcW w:w="2592" w:type="dxa"/>
            <w:shd w:val="clear" w:color="auto" w:fill="1F4E79"/>
            <w:vAlign w:val="center"/>
          </w:tcPr>
          <w:p w14:paraId="3D9F0695" w14:textId="77777777" w:rsidR="00102280" w:rsidRDefault="00FB1280">
            <w:r>
              <w:rPr>
                <w:b/>
                <w:color w:val="FFFFFF"/>
              </w:rPr>
              <w:t>Intended role</w:t>
            </w:r>
          </w:p>
        </w:tc>
        <w:tc>
          <w:tcPr>
            <w:tcW w:w="5904" w:type="dxa"/>
            <w:shd w:val="clear" w:color="auto" w:fill="1F4E79"/>
            <w:vAlign w:val="center"/>
          </w:tcPr>
          <w:p w14:paraId="18CC62CA" w14:textId="77777777" w:rsidR="00102280" w:rsidRDefault="00FB1280">
            <w:r>
              <w:rPr>
                <w:b/>
                <w:color w:val="FFFFFF"/>
              </w:rPr>
              <w:t>Prescriber notes</w:t>
            </w:r>
          </w:p>
        </w:tc>
      </w:tr>
      <w:tr w:rsidR="00102280" w14:paraId="1D010216" w14:textId="77777777">
        <w:trPr>
          <w:jc w:val="center"/>
        </w:trPr>
        <w:tc>
          <w:tcPr>
            <w:tcW w:w="2160" w:type="dxa"/>
          </w:tcPr>
          <w:p w14:paraId="573E7EA4" w14:textId="77777777" w:rsidR="00102280" w:rsidRDefault="00FB1280">
            <w:r>
              <w:rPr>
                <w:sz w:val="18"/>
              </w:rPr>
              <w:t>Amitriptyline 2-5%</w:t>
            </w:r>
          </w:p>
        </w:tc>
        <w:tc>
          <w:tcPr>
            <w:tcW w:w="2592" w:type="dxa"/>
          </w:tcPr>
          <w:p w14:paraId="138D49E6" w14:textId="77777777" w:rsidR="00102280" w:rsidRDefault="00FB1280">
            <w:r>
              <w:rPr>
                <w:sz w:val="18"/>
              </w:rPr>
              <w:t>Neuropathic-pain adjunct</w:t>
            </w:r>
          </w:p>
        </w:tc>
        <w:tc>
          <w:tcPr>
            <w:tcW w:w="5904" w:type="dxa"/>
          </w:tcPr>
          <w:p w14:paraId="2E58BABF" w14:textId="77777777" w:rsidR="00102280" w:rsidRDefault="00FB1280">
            <w:r>
              <w:rPr>
                <w:sz w:val="18"/>
              </w:rPr>
              <w:t>Tricyclic antidepressant mechanism; topical use is off-label and evidence is limited. Consider anticholinergic and sedative risk if systemic exposure occurs. Start with 2% in older, frail or medication-sensitive patients.</w:t>
            </w:r>
          </w:p>
        </w:tc>
      </w:tr>
      <w:tr w:rsidR="00102280" w14:paraId="054C2C09" w14:textId="77777777">
        <w:trPr>
          <w:jc w:val="center"/>
        </w:trPr>
        <w:tc>
          <w:tcPr>
            <w:tcW w:w="2160" w:type="dxa"/>
          </w:tcPr>
          <w:p w14:paraId="4AB9D185" w14:textId="77777777" w:rsidR="00102280" w:rsidRDefault="00FB1280">
            <w:r>
              <w:rPr>
                <w:sz w:val="18"/>
              </w:rPr>
              <w:t>Gabapentin 5%</w:t>
            </w:r>
          </w:p>
        </w:tc>
        <w:tc>
          <w:tcPr>
            <w:tcW w:w="2592" w:type="dxa"/>
          </w:tcPr>
          <w:p w14:paraId="55A7B8C0" w14:textId="77777777" w:rsidR="00102280" w:rsidRDefault="00FB1280">
            <w:r>
              <w:rPr>
                <w:sz w:val="18"/>
              </w:rPr>
              <w:t>Neuropathic-pain adjunct</w:t>
            </w:r>
          </w:p>
        </w:tc>
        <w:tc>
          <w:tcPr>
            <w:tcW w:w="5904" w:type="dxa"/>
          </w:tcPr>
          <w:p w14:paraId="1E678AFF" w14:textId="77777777" w:rsidR="00102280" w:rsidRDefault="00FB1280">
            <w:r>
              <w:rPr>
                <w:sz w:val="18"/>
              </w:rPr>
              <w:t>Commonly compounded for localised neuropathic pain. Evidence for topical gabapentin remains limited; caution in renal impairment, frailty and concurrent CNS depressants if systemic exposure is suspected.</w:t>
            </w:r>
          </w:p>
        </w:tc>
      </w:tr>
      <w:tr w:rsidR="00102280" w14:paraId="5E104090" w14:textId="77777777">
        <w:trPr>
          <w:jc w:val="center"/>
        </w:trPr>
        <w:tc>
          <w:tcPr>
            <w:tcW w:w="2160" w:type="dxa"/>
          </w:tcPr>
          <w:p w14:paraId="56420F1D" w14:textId="77777777" w:rsidR="00102280" w:rsidRDefault="00FB1280">
            <w:r>
              <w:rPr>
                <w:sz w:val="18"/>
              </w:rPr>
              <w:t>Menthol 2%</w:t>
            </w:r>
          </w:p>
        </w:tc>
        <w:tc>
          <w:tcPr>
            <w:tcW w:w="2592" w:type="dxa"/>
          </w:tcPr>
          <w:p w14:paraId="3F4AAE11" w14:textId="77777777" w:rsidR="00102280" w:rsidRDefault="00FB1280">
            <w:r>
              <w:rPr>
                <w:sz w:val="18"/>
              </w:rPr>
              <w:t>Cooling counter-irritant / sensory analgesic</w:t>
            </w:r>
          </w:p>
        </w:tc>
        <w:tc>
          <w:tcPr>
            <w:tcW w:w="5904" w:type="dxa"/>
          </w:tcPr>
          <w:p w14:paraId="2F04968C" w14:textId="77777777" w:rsidR="00102280" w:rsidRDefault="00FB1280">
            <w:r>
              <w:rPr>
                <w:sz w:val="18"/>
              </w:rPr>
              <w:t>May provide early cooling sensation and short-term symptomatic relief.</w:t>
            </w:r>
          </w:p>
        </w:tc>
      </w:tr>
      <w:tr w:rsidR="00102280" w14:paraId="30C2408A" w14:textId="77777777">
        <w:trPr>
          <w:jc w:val="center"/>
        </w:trPr>
        <w:tc>
          <w:tcPr>
            <w:tcW w:w="2160" w:type="dxa"/>
          </w:tcPr>
          <w:p w14:paraId="3089CDFF" w14:textId="77777777" w:rsidR="00102280" w:rsidRDefault="00FB1280">
            <w:r>
              <w:rPr>
                <w:sz w:val="18"/>
              </w:rPr>
              <w:t>VersaPro Cream</w:t>
            </w:r>
          </w:p>
        </w:tc>
        <w:tc>
          <w:tcPr>
            <w:tcW w:w="2592" w:type="dxa"/>
          </w:tcPr>
          <w:p w14:paraId="31B088E1" w14:textId="77777777" w:rsidR="00102280" w:rsidRDefault="00FB1280">
            <w:r>
              <w:rPr>
                <w:sz w:val="18"/>
              </w:rPr>
              <w:t>Topical cream base</w:t>
            </w:r>
          </w:p>
        </w:tc>
        <w:tc>
          <w:tcPr>
            <w:tcW w:w="5904" w:type="dxa"/>
          </w:tcPr>
          <w:p w14:paraId="5C7FE006" w14:textId="77777777" w:rsidR="00102280" w:rsidRDefault="00FB1280">
            <w:r>
              <w:rPr>
                <w:sz w:val="18"/>
              </w:rPr>
              <w:t>Vehicle selection should consider ingredient compatibility, application site, skin tolerability and prescriber preference.</w:t>
            </w:r>
          </w:p>
        </w:tc>
      </w:tr>
    </w:tbl>
    <w:p w14:paraId="2732B95D" w14:textId="77777777" w:rsidR="00102280" w:rsidRDefault="00102280">
      <w:pPr>
        <w:spacing w:after="120" w:line="252" w:lineRule="auto"/>
      </w:pPr>
    </w:p>
    <w:p w14:paraId="5FFDE659" w14:textId="77777777" w:rsidR="00102280" w:rsidRDefault="00FB1280">
      <w:pPr>
        <w:pStyle w:val="Heading2"/>
        <w:spacing w:after="120" w:line="252" w:lineRule="auto"/>
      </w:pPr>
      <w:r>
        <w:t>2. Step-up option: neuropathic pain with local pain sensitivity</w:t>
      </w:r>
    </w:p>
    <w:tbl>
      <w:tblPr>
        <w:tblStyle w:val="TableGrid"/>
        <w:tblW w:w="0" w:type="auto"/>
        <w:tblLook w:val="04A0" w:firstRow="1" w:lastRow="0" w:firstColumn="1" w:lastColumn="0" w:noHBand="0" w:noVBand="1"/>
      </w:tblPr>
      <w:tblGrid>
        <w:gridCol w:w="10358"/>
      </w:tblGrid>
      <w:tr w:rsidR="00102280" w14:paraId="565AB307" w14:textId="77777777">
        <w:tc>
          <w:tcPr>
            <w:tcW w:w="10368" w:type="dxa"/>
            <w:shd w:val="clear" w:color="auto" w:fill="F2F7FB"/>
          </w:tcPr>
          <w:p w14:paraId="2A7ABBB3" w14:textId="77777777" w:rsidR="00102280" w:rsidRDefault="00FB1280">
            <w:r>
              <w:rPr>
                <w:b/>
                <w:color w:val="1F4E79"/>
                <w:sz w:val="21"/>
              </w:rPr>
              <w:t>Compounding treatment option</w:t>
            </w:r>
          </w:p>
          <w:p w14:paraId="417F93ED" w14:textId="77777777" w:rsidR="00102280" w:rsidRDefault="00FB1280">
            <w:r>
              <w:rPr>
                <w:sz w:val="19"/>
              </w:rPr>
              <w:t>Amitriptyline 5% + Gabapentin 5% + Lidocaine HCl 5% + Menthol 2% in VersaPro Cream</w:t>
            </w:r>
          </w:p>
        </w:tc>
      </w:tr>
    </w:tbl>
    <w:p w14:paraId="7092FBC4" w14:textId="77777777" w:rsidR="00102280" w:rsidRDefault="00102280">
      <w:pPr>
        <w:spacing w:after="120" w:line="252" w:lineRule="auto"/>
      </w:pPr>
    </w:p>
    <w:p w14:paraId="51D18171" w14:textId="77777777" w:rsidR="00102280" w:rsidRDefault="00FB1280">
      <w:pPr>
        <w:spacing w:after="120" w:line="252" w:lineRule="auto"/>
      </w:pPr>
      <w:r>
        <w:lastRenderedPageBreak/>
        <w:t>Optional adjunct: Cyclobenzaprine HCl 1-2% may be added where muscle tightness, spasm-associated discomfort or myofascial tenderness is also present.</w:t>
      </w:r>
    </w:p>
    <w:p w14:paraId="6D5FB3F9" w14:textId="77777777" w:rsidR="00102280" w:rsidRDefault="00FB1280">
      <w:pPr>
        <w:spacing w:after="120" w:line="252" w:lineRule="auto"/>
      </w:pPr>
      <w:r>
        <w:rPr>
          <w:b/>
        </w:rPr>
        <w:t xml:space="preserve">Suggested clinical positioning: </w:t>
      </w:r>
      <w:r>
        <w:t>This step-up formulation may be considered for selected patients with more prominent localised neuropathic pain, particularly where burning pain, allodynia, hyperalgesia or superficial pain sensitivity is present. Lidocaine may provide additional local anaesthetic support.</w:t>
      </w:r>
    </w:p>
    <w:p w14:paraId="0B885531" w14:textId="77777777" w:rsidR="00102280" w:rsidRDefault="00FB1280">
      <w:pPr>
        <w:spacing w:after="120" w:line="252" w:lineRule="auto"/>
      </w:pPr>
      <w:r>
        <w:rPr>
          <w:b/>
        </w:rPr>
        <w:t xml:space="preserve">Suggested directions: </w:t>
      </w:r>
      <w:r>
        <w:t>Apply a thin layer to the affected painful area two to three times daily for 2-4 weeks, then review.</w:t>
      </w:r>
    </w:p>
    <w:tbl>
      <w:tblPr>
        <w:tblStyle w:val="TableGrid"/>
        <w:tblW w:w="0" w:type="auto"/>
        <w:jc w:val="center"/>
        <w:tblLook w:val="04A0" w:firstRow="1" w:lastRow="0" w:firstColumn="1" w:lastColumn="0" w:noHBand="0" w:noVBand="1"/>
      </w:tblPr>
      <w:tblGrid>
        <w:gridCol w:w="2131"/>
        <w:gridCol w:w="2529"/>
        <w:gridCol w:w="5698"/>
      </w:tblGrid>
      <w:tr w:rsidR="00102280" w14:paraId="3365BBE6" w14:textId="77777777">
        <w:trPr>
          <w:tblHeader/>
          <w:jc w:val="center"/>
        </w:trPr>
        <w:tc>
          <w:tcPr>
            <w:tcW w:w="2160" w:type="dxa"/>
            <w:shd w:val="clear" w:color="auto" w:fill="1F4E79"/>
            <w:vAlign w:val="center"/>
          </w:tcPr>
          <w:p w14:paraId="0838E47D" w14:textId="77777777" w:rsidR="00102280" w:rsidRDefault="00FB1280">
            <w:r>
              <w:rPr>
                <w:b/>
                <w:color w:val="FFFFFF"/>
              </w:rPr>
              <w:t>Ingredient</w:t>
            </w:r>
          </w:p>
        </w:tc>
        <w:tc>
          <w:tcPr>
            <w:tcW w:w="2592" w:type="dxa"/>
            <w:shd w:val="clear" w:color="auto" w:fill="1F4E79"/>
            <w:vAlign w:val="center"/>
          </w:tcPr>
          <w:p w14:paraId="09A23EEB" w14:textId="77777777" w:rsidR="00102280" w:rsidRDefault="00FB1280">
            <w:r>
              <w:rPr>
                <w:b/>
                <w:color w:val="FFFFFF"/>
              </w:rPr>
              <w:t>Intended role</w:t>
            </w:r>
          </w:p>
        </w:tc>
        <w:tc>
          <w:tcPr>
            <w:tcW w:w="5904" w:type="dxa"/>
            <w:shd w:val="clear" w:color="auto" w:fill="1F4E79"/>
            <w:vAlign w:val="center"/>
          </w:tcPr>
          <w:p w14:paraId="305476FE" w14:textId="77777777" w:rsidR="00102280" w:rsidRDefault="00FB1280">
            <w:r>
              <w:rPr>
                <w:b/>
                <w:color w:val="FFFFFF"/>
              </w:rPr>
              <w:t>Prescriber notes</w:t>
            </w:r>
          </w:p>
        </w:tc>
      </w:tr>
      <w:tr w:rsidR="00102280" w14:paraId="1BA7384E" w14:textId="77777777">
        <w:trPr>
          <w:jc w:val="center"/>
        </w:trPr>
        <w:tc>
          <w:tcPr>
            <w:tcW w:w="2160" w:type="dxa"/>
          </w:tcPr>
          <w:p w14:paraId="60E64749" w14:textId="77777777" w:rsidR="00102280" w:rsidRDefault="00FB1280">
            <w:r>
              <w:rPr>
                <w:sz w:val="18"/>
              </w:rPr>
              <w:t>Amitriptyline 5%</w:t>
            </w:r>
          </w:p>
        </w:tc>
        <w:tc>
          <w:tcPr>
            <w:tcW w:w="2592" w:type="dxa"/>
          </w:tcPr>
          <w:p w14:paraId="7D49A876" w14:textId="77777777" w:rsidR="00102280" w:rsidRDefault="00FB1280">
            <w:r>
              <w:rPr>
                <w:sz w:val="18"/>
              </w:rPr>
              <w:t>Neuropathic-pain adjunct</w:t>
            </w:r>
          </w:p>
        </w:tc>
        <w:tc>
          <w:tcPr>
            <w:tcW w:w="5904" w:type="dxa"/>
          </w:tcPr>
          <w:p w14:paraId="0DD0BB1E" w14:textId="77777777" w:rsidR="00102280" w:rsidRDefault="00FB1280">
            <w:r>
              <w:rPr>
                <w:sz w:val="18"/>
              </w:rPr>
              <w:t>Higher-strength option for selected patients after considering tolerability and application area.</w:t>
            </w:r>
          </w:p>
        </w:tc>
      </w:tr>
      <w:tr w:rsidR="00102280" w14:paraId="3A787CDB" w14:textId="77777777">
        <w:trPr>
          <w:jc w:val="center"/>
        </w:trPr>
        <w:tc>
          <w:tcPr>
            <w:tcW w:w="2160" w:type="dxa"/>
          </w:tcPr>
          <w:p w14:paraId="7927C9F8" w14:textId="77777777" w:rsidR="00102280" w:rsidRDefault="00FB1280">
            <w:r>
              <w:rPr>
                <w:sz w:val="18"/>
              </w:rPr>
              <w:t>Gabapentin 5%</w:t>
            </w:r>
          </w:p>
        </w:tc>
        <w:tc>
          <w:tcPr>
            <w:tcW w:w="2592" w:type="dxa"/>
          </w:tcPr>
          <w:p w14:paraId="067C33CC" w14:textId="77777777" w:rsidR="00102280" w:rsidRDefault="00FB1280">
            <w:r>
              <w:rPr>
                <w:sz w:val="18"/>
              </w:rPr>
              <w:t>Neuropathic-pain adjunct</w:t>
            </w:r>
          </w:p>
        </w:tc>
        <w:tc>
          <w:tcPr>
            <w:tcW w:w="5904" w:type="dxa"/>
          </w:tcPr>
          <w:p w14:paraId="65DBC098" w14:textId="77777777" w:rsidR="00102280" w:rsidRDefault="00FB1280">
            <w:r>
              <w:rPr>
                <w:sz w:val="18"/>
              </w:rPr>
              <w:t>Common compounded neuropathic-pain ingredient; evidence remains limited and mixed.</w:t>
            </w:r>
          </w:p>
        </w:tc>
      </w:tr>
      <w:tr w:rsidR="00102280" w14:paraId="7820B2D7" w14:textId="77777777">
        <w:trPr>
          <w:jc w:val="center"/>
        </w:trPr>
        <w:tc>
          <w:tcPr>
            <w:tcW w:w="2160" w:type="dxa"/>
          </w:tcPr>
          <w:p w14:paraId="3B5ABE24" w14:textId="77777777" w:rsidR="00102280" w:rsidRDefault="00FB1280">
            <w:r>
              <w:rPr>
                <w:sz w:val="18"/>
              </w:rPr>
              <w:t>Lidocaine HCl 5%</w:t>
            </w:r>
          </w:p>
        </w:tc>
        <w:tc>
          <w:tcPr>
            <w:tcW w:w="2592" w:type="dxa"/>
          </w:tcPr>
          <w:p w14:paraId="233D4A17" w14:textId="77777777" w:rsidR="00102280" w:rsidRDefault="00FB1280">
            <w:r>
              <w:rPr>
                <w:sz w:val="18"/>
              </w:rPr>
              <w:t>Local anaesthetic</w:t>
            </w:r>
          </w:p>
        </w:tc>
        <w:tc>
          <w:tcPr>
            <w:tcW w:w="5904" w:type="dxa"/>
          </w:tcPr>
          <w:p w14:paraId="01501420" w14:textId="77777777" w:rsidR="00102280" w:rsidRDefault="00FB1280">
            <w:r>
              <w:rPr>
                <w:sz w:val="18"/>
              </w:rPr>
              <w:t>May assist where superficial pain sensitivity, allodynia or burning pain is prominent. Avoid excessive application, broken skin, occlusion or large areas.</w:t>
            </w:r>
          </w:p>
        </w:tc>
      </w:tr>
      <w:tr w:rsidR="00102280" w14:paraId="681E9B0E" w14:textId="77777777">
        <w:trPr>
          <w:jc w:val="center"/>
        </w:trPr>
        <w:tc>
          <w:tcPr>
            <w:tcW w:w="2160" w:type="dxa"/>
          </w:tcPr>
          <w:p w14:paraId="1979CA2F" w14:textId="77777777" w:rsidR="00102280" w:rsidRDefault="00FB1280">
            <w:r>
              <w:rPr>
                <w:sz w:val="18"/>
              </w:rPr>
              <w:t>Menthol 2%</w:t>
            </w:r>
          </w:p>
        </w:tc>
        <w:tc>
          <w:tcPr>
            <w:tcW w:w="2592" w:type="dxa"/>
          </w:tcPr>
          <w:p w14:paraId="704E37A0" w14:textId="77777777" w:rsidR="00102280" w:rsidRDefault="00FB1280">
            <w:r>
              <w:rPr>
                <w:sz w:val="18"/>
              </w:rPr>
              <w:t>Cooling sensory analgesic</w:t>
            </w:r>
          </w:p>
        </w:tc>
        <w:tc>
          <w:tcPr>
            <w:tcW w:w="5904" w:type="dxa"/>
          </w:tcPr>
          <w:p w14:paraId="03B8EB11" w14:textId="77777777" w:rsidR="00102280" w:rsidRDefault="00FB1280">
            <w:r>
              <w:rPr>
                <w:sz w:val="18"/>
              </w:rPr>
              <w:t>May provide short-term cooling relief and improve patient acceptability.</w:t>
            </w:r>
          </w:p>
        </w:tc>
      </w:tr>
      <w:tr w:rsidR="00102280" w14:paraId="05638433" w14:textId="77777777">
        <w:trPr>
          <w:jc w:val="center"/>
        </w:trPr>
        <w:tc>
          <w:tcPr>
            <w:tcW w:w="2160" w:type="dxa"/>
          </w:tcPr>
          <w:p w14:paraId="792F448B" w14:textId="77777777" w:rsidR="00102280" w:rsidRDefault="00FB1280">
            <w:r>
              <w:rPr>
                <w:sz w:val="18"/>
              </w:rPr>
              <w:t>Cyclobenzaprine HCl 1-2%</w:t>
            </w:r>
          </w:p>
        </w:tc>
        <w:tc>
          <w:tcPr>
            <w:tcW w:w="2592" w:type="dxa"/>
          </w:tcPr>
          <w:p w14:paraId="25658E3F" w14:textId="77777777" w:rsidR="00102280" w:rsidRDefault="00FB1280">
            <w:r>
              <w:rPr>
                <w:sz w:val="18"/>
              </w:rPr>
              <w:t>Muscle-relaxant-style adjunct</w:t>
            </w:r>
          </w:p>
        </w:tc>
        <w:tc>
          <w:tcPr>
            <w:tcW w:w="5904" w:type="dxa"/>
          </w:tcPr>
          <w:p w14:paraId="440EC334" w14:textId="77777777" w:rsidR="00102280" w:rsidRDefault="00FB1280">
            <w:r>
              <w:rPr>
                <w:sz w:val="18"/>
              </w:rPr>
              <w:t>Optional where neck/shoulder tightness, spasm-associated discomfort or myofascial pain coexists. Evidence for topical cyclobenzaprine remains limited.</w:t>
            </w:r>
          </w:p>
        </w:tc>
      </w:tr>
    </w:tbl>
    <w:p w14:paraId="55D357FE" w14:textId="77777777" w:rsidR="00102280" w:rsidRDefault="00102280">
      <w:pPr>
        <w:spacing w:after="120" w:line="252" w:lineRule="auto"/>
      </w:pPr>
    </w:p>
    <w:p w14:paraId="27E37F58" w14:textId="77777777" w:rsidR="00102280" w:rsidRDefault="00FB1280">
      <w:pPr>
        <w:pStyle w:val="Heading2"/>
        <w:spacing w:after="120" w:line="252" w:lineRule="auto"/>
      </w:pPr>
      <w:r>
        <w:t>3. Alternative mixed-pain option: nerve pain with inflammatory or muscular component</w:t>
      </w:r>
    </w:p>
    <w:tbl>
      <w:tblPr>
        <w:tblStyle w:val="TableGrid"/>
        <w:tblW w:w="0" w:type="auto"/>
        <w:tblLook w:val="04A0" w:firstRow="1" w:lastRow="0" w:firstColumn="1" w:lastColumn="0" w:noHBand="0" w:noVBand="1"/>
      </w:tblPr>
      <w:tblGrid>
        <w:gridCol w:w="10358"/>
      </w:tblGrid>
      <w:tr w:rsidR="00102280" w14:paraId="72905D8D" w14:textId="77777777">
        <w:tc>
          <w:tcPr>
            <w:tcW w:w="10368" w:type="dxa"/>
            <w:shd w:val="clear" w:color="auto" w:fill="F2F7FB"/>
          </w:tcPr>
          <w:p w14:paraId="5D99252A" w14:textId="77777777" w:rsidR="00102280" w:rsidRDefault="00FB1280">
            <w:r>
              <w:rPr>
                <w:b/>
                <w:color w:val="1F4E79"/>
                <w:sz w:val="21"/>
              </w:rPr>
              <w:t>Compounding treatment option</w:t>
            </w:r>
          </w:p>
          <w:p w14:paraId="5733A010" w14:textId="77777777" w:rsidR="00102280" w:rsidRDefault="00FB1280">
            <w:r>
              <w:rPr>
                <w:sz w:val="19"/>
              </w:rPr>
              <w:t>Amitriptyline HCl 2% + Gabapentin 2% + Ketoprofen 10% + Lidocaine HCl 5% + Menthol 2% in VersaPro Cream</w:t>
            </w:r>
          </w:p>
        </w:tc>
      </w:tr>
    </w:tbl>
    <w:p w14:paraId="2761DEF6" w14:textId="77777777" w:rsidR="00102280" w:rsidRDefault="00102280">
      <w:pPr>
        <w:spacing w:after="120" w:line="252" w:lineRule="auto"/>
      </w:pPr>
    </w:p>
    <w:p w14:paraId="70B35D34" w14:textId="77777777" w:rsidR="00102280" w:rsidRDefault="00FB1280">
      <w:pPr>
        <w:spacing w:after="120" w:line="252" w:lineRule="auto"/>
      </w:pPr>
      <w:r>
        <w:rPr>
          <w:b/>
        </w:rPr>
        <w:t xml:space="preserve">Suggested clinical positioning: </w:t>
      </w:r>
      <w:r>
        <w:t>This formulation may be considered where a mixed pain presentation is suspected, such as localised neuropathic pain with concurrent soft-tissue inflammation, muscular pain, postural strain or overuse-related discomfort.</w:t>
      </w:r>
    </w:p>
    <w:p w14:paraId="2C0B8BED" w14:textId="77777777" w:rsidR="00102280" w:rsidRDefault="00FB1280">
      <w:pPr>
        <w:spacing w:after="120" w:line="252" w:lineRule="auto"/>
      </w:pPr>
      <w:r>
        <w:rPr>
          <w:b/>
        </w:rPr>
        <w:t xml:space="preserve">Suggested directions: </w:t>
      </w:r>
      <w:r>
        <w:t>Apply a thin layer to the affected area two to three times daily for up to 14 days initially if the inflammatory component is acute, or for 2-4 weeks where neuropathic symptoms predominate, then review.</w:t>
      </w:r>
    </w:p>
    <w:tbl>
      <w:tblPr>
        <w:tblStyle w:val="TableGrid"/>
        <w:tblW w:w="0" w:type="auto"/>
        <w:jc w:val="center"/>
        <w:tblLook w:val="04A0" w:firstRow="1" w:lastRow="0" w:firstColumn="1" w:lastColumn="0" w:noHBand="0" w:noVBand="1"/>
      </w:tblPr>
      <w:tblGrid>
        <w:gridCol w:w="2117"/>
        <w:gridCol w:w="2532"/>
        <w:gridCol w:w="5709"/>
      </w:tblGrid>
      <w:tr w:rsidR="00102280" w14:paraId="417ACB8D" w14:textId="77777777">
        <w:trPr>
          <w:tblHeader/>
          <w:jc w:val="center"/>
        </w:trPr>
        <w:tc>
          <w:tcPr>
            <w:tcW w:w="2160" w:type="dxa"/>
            <w:shd w:val="clear" w:color="auto" w:fill="1F4E79"/>
            <w:vAlign w:val="center"/>
          </w:tcPr>
          <w:p w14:paraId="5203DCA3" w14:textId="77777777" w:rsidR="00102280" w:rsidRDefault="00FB1280">
            <w:r>
              <w:rPr>
                <w:b/>
                <w:color w:val="FFFFFF"/>
              </w:rPr>
              <w:t>Ingredient</w:t>
            </w:r>
          </w:p>
        </w:tc>
        <w:tc>
          <w:tcPr>
            <w:tcW w:w="2592" w:type="dxa"/>
            <w:shd w:val="clear" w:color="auto" w:fill="1F4E79"/>
            <w:vAlign w:val="center"/>
          </w:tcPr>
          <w:p w14:paraId="79343560" w14:textId="77777777" w:rsidR="00102280" w:rsidRDefault="00FB1280">
            <w:r>
              <w:rPr>
                <w:b/>
                <w:color w:val="FFFFFF"/>
              </w:rPr>
              <w:t>Intended role</w:t>
            </w:r>
          </w:p>
        </w:tc>
        <w:tc>
          <w:tcPr>
            <w:tcW w:w="5904" w:type="dxa"/>
            <w:shd w:val="clear" w:color="auto" w:fill="1F4E79"/>
            <w:vAlign w:val="center"/>
          </w:tcPr>
          <w:p w14:paraId="62F08DBF" w14:textId="77777777" w:rsidR="00102280" w:rsidRDefault="00FB1280">
            <w:r>
              <w:rPr>
                <w:b/>
                <w:color w:val="FFFFFF"/>
              </w:rPr>
              <w:t>Prescriber notes</w:t>
            </w:r>
          </w:p>
        </w:tc>
      </w:tr>
      <w:tr w:rsidR="00102280" w14:paraId="07D180C6" w14:textId="77777777">
        <w:trPr>
          <w:jc w:val="center"/>
        </w:trPr>
        <w:tc>
          <w:tcPr>
            <w:tcW w:w="2160" w:type="dxa"/>
          </w:tcPr>
          <w:p w14:paraId="1EDFC108" w14:textId="77777777" w:rsidR="00102280" w:rsidRDefault="00FB1280">
            <w:r>
              <w:rPr>
                <w:sz w:val="18"/>
              </w:rPr>
              <w:t>Amitriptyline HCl 2%</w:t>
            </w:r>
          </w:p>
        </w:tc>
        <w:tc>
          <w:tcPr>
            <w:tcW w:w="2592" w:type="dxa"/>
          </w:tcPr>
          <w:p w14:paraId="08FD1D76" w14:textId="77777777" w:rsidR="00102280" w:rsidRDefault="00FB1280">
            <w:r>
              <w:rPr>
                <w:sz w:val="18"/>
              </w:rPr>
              <w:t>Neuropathic-pain adjunct</w:t>
            </w:r>
          </w:p>
        </w:tc>
        <w:tc>
          <w:tcPr>
            <w:tcW w:w="5904" w:type="dxa"/>
          </w:tcPr>
          <w:p w14:paraId="715FEB44" w14:textId="77777777" w:rsidR="00102280" w:rsidRDefault="00FB1280">
            <w:r>
              <w:rPr>
                <w:sz w:val="18"/>
              </w:rPr>
              <w:t>Lower-strength neuropathic adjunct, useful in mixed formulas to reduce total drug burden.</w:t>
            </w:r>
          </w:p>
        </w:tc>
      </w:tr>
      <w:tr w:rsidR="00102280" w14:paraId="4CB382C5" w14:textId="77777777">
        <w:trPr>
          <w:jc w:val="center"/>
        </w:trPr>
        <w:tc>
          <w:tcPr>
            <w:tcW w:w="2160" w:type="dxa"/>
          </w:tcPr>
          <w:p w14:paraId="0B45E328" w14:textId="77777777" w:rsidR="00102280" w:rsidRDefault="00FB1280">
            <w:r>
              <w:rPr>
                <w:sz w:val="18"/>
              </w:rPr>
              <w:t>Gabapentin 2%</w:t>
            </w:r>
          </w:p>
        </w:tc>
        <w:tc>
          <w:tcPr>
            <w:tcW w:w="2592" w:type="dxa"/>
          </w:tcPr>
          <w:p w14:paraId="132823FD" w14:textId="77777777" w:rsidR="00102280" w:rsidRDefault="00FB1280">
            <w:r>
              <w:rPr>
                <w:sz w:val="18"/>
              </w:rPr>
              <w:t>Neuropathic-pain adjunct</w:t>
            </w:r>
          </w:p>
        </w:tc>
        <w:tc>
          <w:tcPr>
            <w:tcW w:w="5904" w:type="dxa"/>
          </w:tcPr>
          <w:p w14:paraId="05F96C11" w14:textId="77777777" w:rsidR="00102280" w:rsidRDefault="00FB1280">
            <w:r>
              <w:rPr>
                <w:sz w:val="18"/>
              </w:rPr>
              <w:t>Lower-strength gabapentin option for combination formulas.</w:t>
            </w:r>
          </w:p>
        </w:tc>
      </w:tr>
      <w:tr w:rsidR="00102280" w14:paraId="5BAC5F18" w14:textId="77777777">
        <w:trPr>
          <w:jc w:val="center"/>
        </w:trPr>
        <w:tc>
          <w:tcPr>
            <w:tcW w:w="2160" w:type="dxa"/>
          </w:tcPr>
          <w:p w14:paraId="1DAC9B0E" w14:textId="77777777" w:rsidR="00102280" w:rsidRDefault="00FB1280">
            <w:r>
              <w:rPr>
                <w:sz w:val="18"/>
              </w:rPr>
              <w:t>Ketoprofen 10%</w:t>
            </w:r>
          </w:p>
        </w:tc>
        <w:tc>
          <w:tcPr>
            <w:tcW w:w="2592" w:type="dxa"/>
          </w:tcPr>
          <w:p w14:paraId="01C5399D" w14:textId="77777777" w:rsidR="00102280" w:rsidRDefault="00FB1280">
            <w:r>
              <w:rPr>
                <w:sz w:val="18"/>
              </w:rPr>
              <w:t>Topical NSAID / anti-inflammatory analgesic</w:t>
            </w:r>
          </w:p>
        </w:tc>
        <w:tc>
          <w:tcPr>
            <w:tcW w:w="5904" w:type="dxa"/>
          </w:tcPr>
          <w:p w14:paraId="063FE121" w14:textId="77777777" w:rsidR="00102280" w:rsidRDefault="00FB1280">
            <w:r>
              <w:rPr>
                <w:sz w:val="18"/>
              </w:rPr>
              <w:t>Main anti-inflammatory component. Consider NSAID contraindications and ketoprofen photosensitivity risk.</w:t>
            </w:r>
          </w:p>
        </w:tc>
      </w:tr>
      <w:tr w:rsidR="00102280" w14:paraId="568BD3B4" w14:textId="77777777">
        <w:trPr>
          <w:jc w:val="center"/>
        </w:trPr>
        <w:tc>
          <w:tcPr>
            <w:tcW w:w="2160" w:type="dxa"/>
          </w:tcPr>
          <w:p w14:paraId="7EC8FDB6" w14:textId="77777777" w:rsidR="00102280" w:rsidRDefault="00FB1280">
            <w:r>
              <w:rPr>
                <w:sz w:val="18"/>
              </w:rPr>
              <w:t>Lidocaine HCl 5%</w:t>
            </w:r>
          </w:p>
        </w:tc>
        <w:tc>
          <w:tcPr>
            <w:tcW w:w="2592" w:type="dxa"/>
          </w:tcPr>
          <w:p w14:paraId="7FBA3682" w14:textId="77777777" w:rsidR="00102280" w:rsidRDefault="00FB1280">
            <w:r>
              <w:rPr>
                <w:sz w:val="18"/>
              </w:rPr>
              <w:t>Local anaesthetic</w:t>
            </w:r>
          </w:p>
        </w:tc>
        <w:tc>
          <w:tcPr>
            <w:tcW w:w="5904" w:type="dxa"/>
          </w:tcPr>
          <w:p w14:paraId="25CA221F" w14:textId="77777777" w:rsidR="00102280" w:rsidRDefault="00FB1280">
            <w:r>
              <w:rPr>
                <w:sz w:val="18"/>
              </w:rPr>
              <w:t>Useful where local pain sensitivity or allodynia-like symptoms are present.</w:t>
            </w:r>
          </w:p>
        </w:tc>
      </w:tr>
      <w:tr w:rsidR="00102280" w14:paraId="4FDD705B" w14:textId="77777777">
        <w:trPr>
          <w:jc w:val="center"/>
        </w:trPr>
        <w:tc>
          <w:tcPr>
            <w:tcW w:w="2160" w:type="dxa"/>
          </w:tcPr>
          <w:p w14:paraId="4D45956E" w14:textId="77777777" w:rsidR="00102280" w:rsidRDefault="00FB1280">
            <w:r>
              <w:rPr>
                <w:sz w:val="18"/>
              </w:rPr>
              <w:t>Menthol 2%</w:t>
            </w:r>
          </w:p>
        </w:tc>
        <w:tc>
          <w:tcPr>
            <w:tcW w:w="2592" w:type="dxa"/>
          </w:tcPr>
          <w:p w14:paraId="01826C2A" w14:textId="77777777" w:rsidR="00102280" w:rsidRDefault="00FB1280">
            <w:r>
              <w:rPr>
                <w:sz w:val="18"/>
              </w:rPr>
              <w:t>Cooling sensory analgesic</w:t>
            </w:r>
          </w:p>
        </w:tc>
        <w:tc>
          <w:tcPr>
            <w:tcW w:w="5904" w:type="dxa"/>
          </w:tcPr>
          <w:p w14:paraId="037C3A83" w14:textId="77777777" w:rsidR="00102280" w:rsidRDefault="00FB1280">
            <w:r>
              <w:rPr>
                <w:sz w:val="18"/>
              </w:rPr>
              <w:t>May provide short-term symptomatic relief.</w:t>
            </w:r>
          </w:p>
        </w:tc>
      </w:tr>
    </w:tbl>
    <w:p w14:paraId="7D2C444E" w14:textId="77777777" w:rsidR="00102280" w:rsidRDefault="00102280">
      <w:pPr>
        <w:spacing w:after="120" w:line="252" w:lineRule="auto"/>
      </w:pPr>
    </w:p>
    <w:p w14:paraId="26455ED8" w14:textId="77777777" w:rsidR="00102280" w:rsidRDefault="00FB1280">
      <w:pPr>
        <w:pStyle w:val="Heading2"/>
        <w:spacing w:after="120" w:line="252" w:lineRule="auto"/>
      </w:pPr>
      <w:r>
        <w:t>4. Advanced option: refractory or complex localised neuropathic pain</w:t>
      </w:r>
    </w:p>
    <w:tbl>
      <w:tblPr>
        <w:tblStyle w:val="TableGrid"/>
        <w:tblW w:w="0" w:type="auto"/>
        <w:tblLook w:val="04A0" w:firstRow="1" w:lastRow="0" w:firstColumn="1" w:lastColumn="0" w:noHBand="0" w:noVBand="1"/>
      </w:tblPr>
      <w:tblGrid>
        <w:gridCol w:w="10358"/>
      </w:tblGrid>
      <w:tr w:rsidR="00102280" w14:paraId="15709CC7" w14:textId="77777777">
        <w:tc>
          <w:tcPr>
            <w:tcW w:w="10368" w:type="dxa"/>
            <w:shd w:val="clear" w:color="auto" w:fill="F2F7FB"/>
          </w:tcPr>
          <w:p w14:paraId="4E545DB5" w14:textId="77777777" w:rsidR="00102280" w:rsidRDefault="00FB1280">
            <w:r>
              <w:rPr>
                <w:b/>
                <w:color w:val="1F4E79"/>
                <w:sz w:val="21"/>
              </w:rPr>
              <w:t>Compounding treatment option</w:t>
            </w:r>
          </w:p>
          <w:p w14:paraId="159BCF69" w14:textId="77777777" w:rsidR="00102280" w:rsidRDefault="00FB1280">
            <w:r>
              <w:rPr>
                <w:sz w:val="19"/>
              </w:rPr>
              <w:t>Gabapentin 5% + Ketamine HCl 11.5% + Ketoprofen 10% + Lidocaine HCl 5% + Menthol 2% in VersaPro Cream</w:t>
            </w:r>
          </w:p>
        </w:tc>
      </w:tr>
    </w:tbl>
    <w:p w14:paraId="1C3B4986" w14:textId="77777777" w:rsidR="00102280" w:rsidRDefault="00102280">
      <w:pPr>
        <w:spacing w:after="120" w:line="252" w:lineRule="auto"/>
      </w:pPr>
    </w:p>
    <w:p w14:paraId="29805B3E" w14:textId="77777777" w:rsidR="00102280" w:rsidRDefault="00FB1280">
      <w:pPr>
        <w:spacing w:after="120" w:line="252" w:lineRule="auto"/>
      </w:pPr>
      <w:r>
        <w:rPr>
          <w:b/>
        </w:rPr>
        <w:t xml:space="preserve">Suggested clinical positioning: </w:t>
      </w:r>
      <w:r>
        <w:t>This advanced formulation may be considered for selected patients with refractory localised neuropathic pain or complex mixed pain where standard topical or oral options are unsuitable, poorly tolerated or insufficient.</w:t>
      </w:r>
    </w:p>
    <w:p w14:paraId="3C3930E4" w14:textId="77777777" w:rsidR="00102280" w:rsidRDefault="00FB1280">
      <w:pPr>
        <w:spacing w:after="120" w:line="252" w:lineRule="auto"/>
      </w:pPr>
      <w:r>
        <w:rPr>
          <w:b/>
        </w:rPr>
        <w:t xml:space="preserve">Suggested directions: </w:t>
      </w:r>
      <w:r>
        <w:t>Apply a thin layer to the affected painful area two to three times daily for a 2-4 week therapeutic trial, then review benefit, tolerability, cost-effectiveness and ongoing need.</w:t>
      </w:r>
    </w:p>
    <w:tbl>
      <w:tblPr>
        <w:tblStyle w:val="TableGrid"/>
        <w:tblW w:w="0" w:type="auto"/>
        <w:jc w:val="center"/>
        <w:tblLook w:val="04A0" w:firstRow="1" w:lastRow="0" w:firstColumn="1" w:lastColumn="0" w:noHBand="0" w:noVBand="1"/>
      </w:tblPr>
      <w:tblGrid>
        <w:gridCol w:w="2115"/>
        <w:gridCol w:w="2534"/>
        <w:gridCol w:w="5709"/>
      </w:tblGrid>
      <w:tr w:rsidR="00102280" w14:paraId="4615E572" w14:textId="77777777">
        <w:trPr>
          <w:tblHeader/>
          <w:jc w:val="center"/>
        </w:trPr>
        <w:tc>
          <w:tcPr>
            <w:tcW w:w="2160" w:type="dxa"/>
            <w:shd w:val="clear" w:color="auto" w:fill="1F4E79"/>
            <w:vAlign w:val="center"/>
          </w:tcPr>
          <w:p w14:paraId="79156CB9" w14:textId="77777777" w:rsidR="00102280" w:rsidRDefault="00FB1280">
            <w:r>
              <w:rPr>
                <w:b/>
                <w:color w:val="FFFFFF"/>
              </w:rPr>
              <w:lastRenderedPageBreak/>
              <w:t>Ingredient</w:t>
            </w:r>
          </w:p>
        </w:tc>
        <w:tc>
          <w:tcPr>
            <w:tcW w:w="2592" w:type="dxa"/>
            <w:shd w:val="clear" w:color="auto" w:fill="1F4E79"/>
            <w:vAlign w:val="center"/>
          </w:tcPr>
          <w:p w14:paraId="45F8E380" w14:textId="77777777" w:rsidR="00102280" w:rsidRDefault="00FB1280">
            <w:r>
              <w:rPr>
                <w:b/>
                <w:color w:val="FFFFFF"/>
              </w:rPr>
              <w:t>Intended role</w:t>
            </w:r>
          </w:p>
        </w:tc>
        <w:tc>
          <w:tcPr>
            <w:tcW w:w="5904" w:type="dxa"/>
            <w:shd w:val="clear" w:color="auto" w:fill="1F4E79"/>
            <w:vAlign w:val="center"/>
          </w:tcPr>
          <w:p w14:paraId="783C8DB9" w14:textId="77777777" w:rsidR="00102280" w:rsidRDefault="00FB1280">
            <w:r>
              <w:rPr>
                <w:b/>
                <w:color w:val="FFFFFF"/>
              </w:rPr>
              <w:t>Prescriber notes</w:t>
            </w:r>
          </w:p>
        </w:tc>
      </w:tr>
      <w:tr w:rsidR="00102280" w14:paraId="124E8B11" w14:textId="77777777">
        <w:trPr>
          <w:jc w:val="center"/>
        </w:trPr>
        <w:tc>
          <w:tcPr>
            <w:tcW w:w="2160" w:type="dxa"/>
          </w:tcPr>
          <w:p w14:paraId="51102E57" w14:textId="77777777" w:rsidR="00102280" w:rsidRDefault="00FB1280">
            <w:r>
              <w:rPr>
                <w:sz w:val="18"/>
              </w:rPr>
              <w:t>Gabapentin 5%</w:t>
            </w:r>
          </w:p>
        </w:tc>
        <w:tc>
          <w:tcPr>
            <w:tcW w:w="2592" w:type="dxa"/>
          </w:tcPr>
          <w:p w14:paraId="74CE96F8" w14:textId="77777777" w:rsidR="00102280" w:rsidRDefault="00FB1280">
            <w:r>
              <w:rPr>
                <w:sz w:val="18"/>
              </w:rPr>
              <w:t>Neuropathic-pain adjunct</w:t>
            </w:r>
          </w:p>
        </w:tc>
        <w:tc>
          <w:tcPr>
            <w:tcW w:w="5904" w:type="dxa"/>
          </w:tcPr>
          <w:p w14:paraId="3482A05B" w14:textId="77777777" w:rsidR="00102280" w:rsidRDefault="00FB1280">
            <w:r>
              <w:rPr>
                <w:sz w:val="18"/>
              </w:rPr>
              <w:t>Common compounded ingredient; evidence remains limited.</w:t>
            </w:r>
          </w:p>
        </w:tc>
      </w:tr>
      <w:tr w:rsidR="00102280" w14:paraId="29DAB6A7" w14:textId="77777777">
        <w:trPr>
          <w:jc w:val="center"/>
        </w:trPr>
        <w:tc>
          <w:tcPr>
            <w:tcW w:w="2160" w:type="dxa"/>
          </w:tcPr>
          <w:p w14:paraId="6A39D401" w14:textId="77777777" w:rsidR="00102280" w:rsidRDefault="00FB1280">
            <w:r>
              <w:rPr>
                <w:sz w:val="18"/>
              </w:rPr>
              <w:t>Ketamine HCl 11.5%</w:t>
            </w:r>
          </w:p>
        </w:tc>
        <w:tc>
          <w:tcPr>
            <w:tcW w:w="2592" w:type="dxa"/>
          </w:tcPr>
          <w:p w14:paraId="4787197B" w14:textId="77777777" w:rsidR="00102280" w:rsidRDefault="00FB1280">
            <w:r>
              <w:rPr>
                <w:sz w:val="18"/>
              </w:rPr>
              <w:t>NMDA receptor antagonist / neuropathic-pain adjunct</w:t>
            </w:r>
          </w:p>
        </w:tc>
        <w:tc>
          <w:tcPr>
            <w:tcW w:w="5904" w:type="dxa"/>
          </w:tcPr>
          <w:p w14:paraId="24E96BD6" w14:textId="77777777" w:rsidR="00102280" w:rsidRDefault="00FB1280">
            <w:r>
              <w:rPr>
                <w:sz w:val="18"/>
              </w:rPr>
              <w:t>May be considered in refractory neuropathic pain. Evidence is limited and cost can be significant. Use with careful prescriber review.</w:t>
            </w:r>
          </w:p>
        </w:tc>
      </w:tr>
      <w:tr w:rsidR="00102280" w14:paraId="0575DD32" w14:textId="77777777">
        <w:trPr>
          <w:jc w:val="center"/>
        </w:trPr>
        <w:tc>
          <w:tcPr>
            <w:tcW w:w="2160" w:type="dxa"/>
          </w:tcPr>
          <w:p w14:paraId="469DEA34" w14:textId="77777777" w:rsidR="00102280" w:rsidRDefault="00FB1280">
            <w:r>
              <w:rPr>
                <w:sz w:val="18"/>
              </w:rPr>
              <w:t>Ketoprofen 10%</w:t>
            </w:r>
          </w:p>
        </w:tc>
        <w:tc>
          <w:tcPr>
            <w:tcW w:w="2592" w:type="dxa"/>
          </w:tcPr>
          <w:p w14:paraId="332E95F2" w14:textId="77777777" w:rsidR="00102280" w:rsidRDefault="00FB1280">
            <w:r>
              <w:rPr>
                <w:sz w:val="18"/>
              </w:rPr>
              <w:t>Topical NSAID / anti-inflammatory analgesic</w:t>
            </w:r>
          </w:p>
        </w:tc>
        <w:tc>
          <w:tcPr>
            <w:tcW w:w="5904" w:type="dxa"/>
          </w:tcPr>
          <w:p w14:paraId="1D3B4294" w14:textId="77777777" w:rsidR="00102280" w:rsidRDefault="00FB1280">
            <w:r>
              <w:rPr>
                <w:sz w:val="18"/>
              </w:rPr>
              <w:t>Supports inflammatory or mixed nociceptive component. Counsel regarding photosensitivity risk.</w:t>
            </w:r>
          </w:p>
        </w:tc>
      </w:tr>
      <w:tr w:rsidR="00102280" w14:paraId="03D81DEA" w14:textId="77777777">
        <w:trPr>
          <w:jc w:val="center"/>
        </w:trPr>
        <w:tc>
          <w:tcPr>
            <w:tcW w:w="2160" w:type="dxa"/>
          </w:tcPr>
          <w:p w14:paraId="15B367D6" w14:textId="77777777" w:rsidR="00102280" w:rsidRDefault="00FB1280">
            <w:r>
              <w:rPr>
                <w:sz w:val="18"/>
              </w:rPr>
              <w:t>Lidocaine HCl 5%</w:t>
            </w:r>
          </w:p>
        </w:tc>
        <w:tc>
          <w:tcPr>
            <w:tcW w:w="2592" w:type="dxa"/>
          </w:tcPr>
          <w:p w14:paraId="1EA337B7" w14:textId="77777777" w:rsidR="00102280" w:rsidRDefault="00FB1280">
            <w:r>
              <w:rPr>
                <w:sz w:val="18"/>
              </w:rPr>
              <w:t>Local anaesthetic</w:t>
            </w:r>
          </w:p>
        </w:tc>
        <w:tc>
          <w:tcPr>
            <w:tcW w:w="5904" w:type="dxa"/>
          </w:tcPr>
          <w:p w14:paraId="769D1914" w14:textId="77777777" w:rsidR="00102280" w:rsidRDefault="00FB1280">
            <w:r>
              <w:rPr>
                <w:sz w:val="18"/>
              </w:rPr>
              <w:t>May reduce superficial pain sensitivity and allodynia-like symptoms.</w:t>
            </w:r>
          </w:p>
        </w:tc>
      </w:tr>
      <w:tr w:rsidR="00102280" w14:paraId="056F9D5E" w14:textId="77777777">
        <w:trPr>
          <w:jc w:val="center"/>
        </w:trPr>
        <w:tc>
          <w:tcPr>
            <w:tcW w:w="2160" w:type="dxa"/>
          </w:tcPr>
          <w:p w14:paraId="1500410C" w14:textId="77777777" w:rsidR="00102280" w:rsidRDefault="00FB1280">
            <w:r>
              <w:rPr>
                <w:sz w:val="18"/>
              </w:rPr>
              <w:t>Menthol 2%</w:t>
            </w:r>
          </w:p>
        </w:tc>
        <w:tc>
          <w:tcPr>
            <w:tcW w:w="2592" w:type="dxa"/>
          </w:tcPr>
          <w:p w14:paraId="45CC3530" w14:textId="77777777" w:rsidR="00102280" w:rsidRDefault="00FB1280">
            <w:r>
              <w:rPr>
                <w:sz w:val="18"/>
              </w:rPr>
              <w:t>Cooling sensory analgesic</w:t>
            </w:r>
          </w:p>
        </w:tc>
        <w:tc>
          <w:tcPr>
            <w:tcW w:w="5904" w:type="dxa"/>
          </w:tcPr>
          <w:p w14:paraId="46214562" w14:textId="77777777" w:rsidR="00102280" w:rsidRDefault="00FB1280">
            <w:r>
              <w:rPr>
                <w:sz w:val="18"/>
              </w:rPr>
              <w:t>May provide short-term symptomatic relief.</w:t>
            </w:r>
          </w:p>
        </w:tc>
      </w:tr>
    </w:tbl>
    <w:p w14:paraId="25F4CDAE" w14:textId="77777777" w:rsidR="00102280" w:rsidRDefault="00102280">
      <w:pPr>
        <w:spacing w:after="120" w:line="252" w:lineRule="auto"/>
      </w:pPr>
    </w:p>
    <w:tbl>
      <w:tblPr>
        <w:tblStyle w:val="TableGrid"/>
        <w:tblW w:w="0" w:type="auto"/>
        <w:tblLook w:val="04A0" w:firstRow="1" w:lastRow="0" w:firstColumn="1" w:lastColumn="0" w:noHBand="0" w:noVBand="1"/>
      </w:tblPr>
      <w:tblGrid>
        <w:gridCol w:w="10358"/>
      </w:tblGrid>
      <w:tr w:rsidR="00102280" w14:paraId="18B5AB58" w14:textId="77777777">
        <w:tc>
          <w:tcPr>
            <w:tcW w:w="10368" w:type="dxa"/>
            <w:shd w:val="clear" w:color="auto" w:fill="FFF2CC"/>
          </w:tcPr>
          <w:p w14:paraId="3B835E55" w14:textId="77777777" w:rsidR="00102280" w:rsidRDefault="00FB1280">
            <w:r>
              <w:rPr>
                <w:b/>
                <w:color w:val="1F4E79"/>
                <w:sz w:val="21"/>
              </w:rPr>
              <w:t>Clinical and cost note</w:t>
            </w:r>
          </w:p>
          <w:p w14:paraId="39C6BFB7" w14:textId="77777777" w:rsidR="00102280" w:rsidRDefault="00FB1280">
            <w:r>
              <w:rPr>
                <w:sz w:val="19"/>
              </w:rPr>
              <w:t>Formulations containing ketamine may be significantly more expensive than standard compounded creams. Prescribers should consider expected clinical benefit, treatment area, quantity, duration and patient affordability before prescribing.</w:t>
            </w:r>
          </w:p>
        </w:tc>
      </w:tr>
    </w:tbl>
    <w:p w14:paraId="0C7B1CF9" w14:textId="77777777" w:rsidR="00102280" w:rsidRDefault="00102280">
      <w:pPr>
        <w:spacing w:after="120" w:line="252" w:lineRule="auto"/>
      </w:pPr>
    </w:p>
    <w:p w14:paraId="6A13334D" w14:textId="77777777" w:rsidR="00102280" w:rsidRDefault="00FB1280">
      <w:pPr>
        <w:pStyle w:val="Heading1"/>
        <w:spacing w:after="120" w:line="252" w:lineRule="auto"/>
      </w:pPr>
      <w:r>
        <w:t>Patient selection</w:t>
      </w:r>
    </w:p>
    <w:p w14:paraId="7DA40FAC" w14:textId="77777777" w:rsidR="00102280" w:rsidRDefault="00FB1280">
      <w:pPr>
        <w:spacing w:after="120" w:line="252" w:lineRule="auto"/>
      </w:pPr>
      <w:r>
        <w:t>Topical neuropathic-pain formulations may be considered where:</w:t>
      </w:r>
    </w:p>
    <w:p w14:paraId="19FA3F9C" w14:textId="77777777" w:rsidR="00102280" w:rsidRDefault="00FB1280">
      <w:pPr>
        <w:pStyle w:val="ListBullet"/>
        <w:spacing w:after="120" w:line="252" w:lineRule="auto"/>
      </w:pPr>
      <w:r>
        <w:t>Pain is localised and accessible for topical application</w:t>
      </w:r>
    </w:p>
    <w:p w14:paraId="3066FC8B" w14:textId="77777777" w:rsidR="00102280" w:rsidRDefault="00FB1280">
      <w:pPr>
        <w:pStyle w:val="ListBullet"/>
        <w:spacing w:after="120" w:line="252" w:lineRule="auto"/>
      </w:pPr>
      <w:r>
        <w:t>Symptoms suggest a neuropathic component</w:t>
      </w:r>
    </w:p>
    <w:p w14:paraId="79F33529" w14:textId="77777777" w:rsidR="00102280" w:rsidRDefault="00FB1280">
      <w:pPr>
        <w:pStyle w:val="ListBullet"/>
        <w:spacing w:after="120" w:line="252" w:lineRule="auto"/>
      </w:pPr>
      <w:r>
        <w:t>Oral neuropathic-pain medicines are unsuitable, poorly tolerated or contraindicated</w:t>
      </w:r>
    </w:p>
    <w:p w14:paraId="024B6FD7" w14:textId="77777777" w:rsidR="00102280" w:rsidRDefault="00FB1280">
      <w:pPr>
        <w:pStyle w:val="ListBullet"/>
        <w:spacing w:after="120" w:line="252" w:lineRule="auto"/>
      </w:pPr>
      <w:r>
        <w:t>The patient is frail, older or at risk of sedation from systemic therapy</w:t>
      </w:r>
    </w:p>
    <w:p w14:paraId="230E4E05" w14:textId="77777777" w:rsidR="00102280" w:rsidRDefault="00FB1280">
      <w:pPr>
        <w:pStyle w:val="ListBullet"/>
        <w:spacing w:after="120" w:line="252" w:lineRule="auto"/>
      </w:pPr>
      <w:r>
        <w:t>The patient is already on multiple CNS-active medicines</w:t>
      </w:r>
    </w:p>
    <w:p w14:paraId="76D3D129" w14:textId="77777777" w:rsidR="00102280" w:rsidRDefault="00FB1280">
      <w:pPr>
        <w:pStyle w:val="ListBullet"/>
        <w:spacing w:after="120" w:line="252" w:lineRule="auto"/>
      </w:pPr>
      <w:r>
        <w:t>A localised therapeutic trial is clinically appropriate</w:t>
      </w:r>
    </w:p>
    <w:p w14:paraId="370BFD58" w14:textId="77777777" w:rsidR="00102280" w:rsidRDefault="00FB1280">
      <w:pPr>
        <w:pStyle w:val="ListBullet"/>
        <w:spacing w:after="120" w:line="252" w:lineRule="auto"/>
      </w:pPr>
      <w:r>
        <w:t>There is a clear review date and stopping plan if ineffective</w:t>
      </w:r>
    </w:p>
    <w:p w14:paraId="6202DEBA" w14:textId="77777777" w:rsidR="00102280" w:rsidRDefault="00FB1280">
      <w:pPr>
        <w:pStyle w:val="Heading1"/>
        <w:spacing w:after="120" w:line="252" w:lineRule="auto"/>
      </w:pPr>
      <w:r>
        <w:t>Precautions and contraindication considerations</w:t>
      </w:r>
    </w:p>
    <w:p w14:paraId="23276388" w14:textId="77777777" w:rsidR="00102280" w:rsidRDefault="00FB1280">
      <w:pPr>
        <w:pStyle w:val="ListBullet"/>
        <w:spacing w:after="120" w:line="252" w:lineRule="auto"/>
      </w:pPr>
      <w:r>
        <w:t>Broken, infected, inflamed or ulcerated skin at the application site</w:t>
      </w:r>
    </w:p>
    <w:p w14:paraId="392229B4" w14:textId="77777777" w:rsidR="00102280" w:rsidRDefault="00FB1280">
      <w:pPr>
        <w:pStyle w:val="ListBullet"/>
        <w:spacing w:after="120" w:line="252" w:lineRule="auto"/>
      </w:pPr>
      <w:r>
        <w:t>Large treatment areas or use under occlusion</w:t>
      </w:r>
    </w:p>
    <w:p w14:paraId="6EA6BB4D" w14:textId="77777777" w:rsidR="00102280" w:rsidRDefault="00FB1280">
      <w:pPr>
        <w:pStyle w:val="ListBullet"/>
        <w:spacing w:after="120" w:line="252" w:lineRule="auto"/>
      </w:pPr>
      <w:r>
        <w:t>Pregnancy or breastfeeding, unless clinically justified</w:t>
      </w:r>
    </w:p>
    <w:p w14:paraId="0D6C5BCE" w14:textId="77777777" w:rsidR="00102280" w:rsidRDefault="00FB1280">
      <w:pPr>
        <w:pStyle w:val="ListBullet"/>
        <w:spacing w:after="120" w:line="252" w:lineRule="auto"/>
      </w:pPr>
      <w:r>
        <w:t>Frailty, cognitive impairment or falls risk</w:t>
      </w:r>
    </w:p>
    <w:p w14:paraId="110AB7CB" w14:textId="77777777" w:rsidR="00102280" w:rsidRDefault="00FB1280">
      <w:pPr>
        <w:pStyle w:val="ListBullet"/>
        <w:spacing w:after="120" w:line="252" w:lineRule="auto"/>
      </w:pPr>
      <w:r>
        <w:t>Renal impairment, especially where gabapentin exposure is a concern</w:t>
      </w:r>
    </w:p>
    <w:p w14:paraId="6339A4EF" w14:textId="77777777" w:rsidR="00102280" w:rsidRDefault="00FB1280">
      <w:pPr>
        <w:pStyle w:val="ListBullet"/>
        <w:spacing w:after="120" w:line="252" w:lineRule="auto"/>
      </w:pPr>
      <w:r>
        <w:t>High anticholinergic burden, glaucoma, urinary retention, constipation or arrhythmia risk where amitriptyline is used</w:t>
      </w:r>
    </w:p>
    <w:p w14:paraId="35795BE3" w14:textId="77777777" w:rsidR="00102280" w:rsidRDefault="00FB1280">
      <w:pPr>
        <w:pStyle w:val="ListBullet"/>
        <w:spacing w:after="120" w:line="252" w:lineRule="auto"/>
      </w:pPr>
      <w:r>
        <w:t>Concurrent CNS depressants, opioids, benzodiazepines, gabapentinoids, sedatives, tricyclic antidepressants or serotonergic medicines</w:t>
      </w:r>
    </w:p>
    <w:p w14:paraId="0BC6DEFF" w14:textId="77777777" w:rsidR="00102280" w:rsidRDefault="00FB1280">
      <w:pPr>
        <w:pStyle w:val="ListBullet"/>
        <w:spacing w:after="120" w:line="252" w:lineRule="auto"/>
      </w:pPr>
      <w:r>
        <w:t>Known allergy or sensitivity to local anaesthetics, NSAIDs, menthol or formulation excipients</w:t>
      </w:r>
    </w:p>
    <w:p w14:paraId="676593B5" w14:textId="77777777" w:rsidR="00102280" w:rsidRDefault="00FB1280">
      <w:pPr>
        <w:pStyle w:val="ListBullet"/>
        <w:spacing w:after="120" w:line="252" w:lineRule="auto"/>
      </w:pPr>
      <w:r>
        <w:t>NSAID allergy, aspirin-sensitive asthma, peptic ulcer disease, renal impairment, anticoagulant therapy or high bleeding risk where ketoprofen is included</w:t>
      </w:r>
    </w:p>
    <w:p w14:paraId="3EE07400" w14:textId="77777777" w:rsidR="00102280" w:rsidRDefault="00FB1280">
      <w:pPr>
        <w:pStyle w:val="ListBullet"/>
        <w:spacing w:after="120" w:line="252" w:lineRule="auto"/>
      </w:pPr>
      <w:r>
        <w:t>History of ketoprofen photosensitivity or photoallergic dermatitis</w:t>
      </w:r>
    </w:p>
    <w:p w14:paraId="43CEF765" w14:textId="77777777" w:rsidR="00102280" w:rsidRDefault="00FB1280">
      <w:pPr>
        <w:spacing w:after="120" w:line="252" w:lineRule="auto"/>
      </w:pPr>
      <w:r>
        <w:t>Patients using ketoprofen-containing creams should be counselled to avoid sunlight, solariums and UV exposure to the treated area during use and for an appropriate period after stopping, and to stop treatment if rash or photosensitivity occurs.</w:t>
      </w:r>
    </w:p>
    <w:p w14:paraId="75F5BDE5" w14:textId="77777777" w:rsidR="00102280" w:rsidRDefault="00FB1280">
      <w:pPr>
        <w:pStyle w:val="Heading1"/>
        <w:spacing w:after="120" w:line="252" w:lineRule="auto"/>
      </w:pPr>
      <w:r>
        <w:t>Monitoring and review</w:t>
      </w:r>
    </w:p>
    <w:p w14:paraId="6F830315" w14:textId="77777777" w:rsidR="00102280" w:rsidRDefault="00FB1280">
      <w:pPr>
        <w:pStyle w:val="ListBullet"/>
        <w:spacing w:after="120" w:line="252" w:lineRule="auto"/>
      </w:pPr>
      <w:r>
        <w:t>Reduction in pain intensity</w:t>
      </w:r>
    </w:p>
    <w:p w14:paraId="101A3771" w14:textId="77777777" w:rsidR="00102280" w:rsidRDefault="00FB1280">
      <w:pPr>
        <w:pStyle w:val="ListBullet"/>
        <w:spacing w:after="120" w:line="252" w:lineRule="auto"/>
      </w:pPr>
      <w:r>
        <w:t>Improvement in sleep, mobility, function or tolerance of clothing/touch</w:t>
      </w:r>
    </w:p>
    <w:p w14:paraId="58CD9270" w14:textId="77777777" w:rsidR="00102280" w:rsidRDefault="00FB1280">
      <w:pPr>
        <w:pStyle w:val="ListBullet"/>
        <w:spacing w:after="120" w:line="252" w:lineRule="auto"/>
      </w:pPr>
      <w:r>
        <w:t>Reduced reliance on oral analgesics</w:t>
      </w:r>
    </w:p>
    <w:p w14:paraId="6177A8DA" w14:textId="77777777" w:rsidR="00102280" w:rsidRDefault="00FB1280">
      <w:pPr>
        <w:pStyle w:val="ListBullet"/>
        <w:spacing w:after="120" w:line="252" w:lineRule="auto"/>
      </w:pPr>
      <w:r>
        <w:t>Local skin irritation, rash, dermatitis or photosensitivity</w:t>
      </w:r>
    </w:p>
    <w:p w14:paraId="4695AF0D" w14:textId="77777777" w:rsidR="00102280" w:rsidRDefault="00FB1280">
      <w:pPr>
        <w:pStyle w:val="ListBullet"/>
        <w:spacing w:after="120" w:line="252" w:lineRule="auto"/>
      </w:pPr>
      <w:r>
        <w:t>Drowsiness, dizziness, confusion or anticholinergic symptoms</w:t>
      </w:r>
    </w:p>
    <w:p w14:paraId="77696939" w14:textId="77777777" w:rsidR="00102280" w:rsidRDefault="00FB1280">
      <w:pPr>
        <w:pStyle w:val="ListBullet"/>
        <w:spacing w:after="120" w:line="252" w:lineRule="auto"/>
      </w:pPr>
      <w:r>
        <w:lastRenderedPageBreak/>
        <w:t>Numbness beyond the target area or signs of excessive local anaesthetic exposure</w:t>
      </w:r>
    </w:p>
    <w:p w14:paraId="21F6B84E" w14:textId="77777777" w:rsidR="00102280" w:rsidRDefault="00FB1280">
      <w:pPr>
        <w:pStyle w:val="ListBullet"/>
        <w:spacing w:after="120" w:line="252" w:lineRule="auto"/>
      </w:pPr>
      <w:r>
        <w:t>Cost-effectiveness and patient adherence</w:t>
      </w:r>
    </w:p>
    <w:p w14:paraId="110940E9" w14:textId="77777777" w:rsidR="00102280" w:rsidRDefault="00FB1280">
      <w:pPr>
        <w:pStyle w:val="ListBullet"/>
        <w:spacing w:after="120" w:line="252" w:lineRule="auto"/>
      </w:pPr>
      <w:r>
        <w:t>Ongoing need beyond the initial therapeutic trial</w:t>
      </w:r>
    </w:p>
    <w:p w14:paraId="2B0BE371" w14:textId="77777777" w:rsidR="00102280" w:rsidRDefault="00FB1280">
      <w:pPr>
        <w:spacing w:after="120" w:line="252" w:lineRule="auto"/>
      </w:pPr>
      <w:r>
        <w:t>If there is no clinically meaningful improvement after 2-4 weeks, the formulation should be reviewed, modified or ceased.</w:t>
      </w:r>
    </w:p>
    <w:p w14:paraId="022133C1" w14:textId="77777777" w:rsidR="00102280" w:rsidRDefault="00FB1280">
      <w:pPr>
        <w:pStyle w:val="Heading1"/>
        <w:spacing w:after="120" w:line="252" w:lineRule="auto"/>
      </w:pPr>
      <w:r>
        <w:t>Suggested prescription examples</w:t>
      </w:r>
    </w:p>
    <w:tbl>
      <w:tblPr>
        <w:tblStyle w:val="TableGrid"/>
        <w:tblW w:w="0" w:type="auto"/>
        <w:jc w:val="center"/>
        <w:tblLook w:val="04A0" w:firstRow="1" w:lastRow="0" w:firstColumn="1" w:lastColumn="0" w:noHBand="0" w:noVBand="1"/>
      </w:tblPr>
      <w:tblGrid>
        <w:gridCol w:w="2879"/>
        <w:gridCol w:w="7479"/>
      </w:tblGrid>
      <w:tr w:rsidR="00102280" w14:paraId="1D5EF136" w14:textId="77777777">
        <w:trPr>
          <w:tblHeader/>
          <w:jc w:val="center"/>
        </w:trPr>
        <w:tc>
          <w:tcPr>
            <w:tcW w:w="2880" w:type="dxa"/>
            <w:shd w:val="clear" w:color="auto" w:fill="1F4E79"/>
            <w:vAlign w:val="center"/>
          </w:tcPr>
          <w:p w14:paraId="4ECB3473" w14:textId="77777777" w:rsidR="00102280" w:rsidRDefault="00FB1280">
            <w:r>
              <w:rPr>
                <w:b/>
                <w:color w:val="FFFFFF"/>
              </w:rPr>
              <w:t>Clinical option</w:t>
            </w:r>
          </w:p>
        </w:tc>
        <w:tc>
          <w:tcPr>
            <w:tcW w:w="7488" w:type="dxa"/>
            <w:shd w:val="clear" w:color="auto" w:fill="1F4E79"/>
            <w:vAlign w:val="center"/>
          </w:tcPr>
          <w:p w14:paraId="64A8089A" w14:textId="77777777" w:rsidR="00102280" w:rsidRDefault="00FB1280">
            <w:r>
              <w:rPr>
                <w:b/>
                <w:color w:val="FFFFFF"/>
              </w:rPr>
              <w:t>Example prescription wording</w:t>
            </w:r>
          </w:p>
        </w:tc>
      </w:tr>
      <w:tr w:rsidR="00102280" w14:paraId="57D21ABD" w14:textId="77777777">
        <w:trPr>
          <w:jc w:val="center"/>
        </w:trPr>
        <w:tc>
          <w:tcPr>
            <w:tcW w:w="2880" w:type="dxa"/>
          </w:tcPr>
          <w:p w14:paraId="5E58625B" w14:textId="77777777" w:rsidR="00102280" w:rsidRDefault="00FB1280">
            <w:r>
              <w:rPr>
                <w:sz w:val="18"/>
              </w:rPr>
              <w:t>Starting neuropathic pain option</w:t>
            </w:r>
          </w:p>
        </w:tc>
        <w:tc>
          <w:tcPr>
            <w:tcW w:w="7488" w:type="dxa"/>
          </w:tcPr>
          <w:p w14:paraId="7FC230AB" w14:textId="77777777" w:rsidR="00102280" w:rsidRDefault="00FB1280">
            <w:r>
              <w:rPr>
                <w:sz w:val="18"/>
              </w:rPr>
              <w:t>Amitriptyline 2% + Gabapentin 5% + Menthol 2% in VersaPro Cream. Apply thinly to affected painful area two to three times daily for 2-4 weeks, then review. Quantity: 50 g.</w:t>
            </w:r>
          </w:p>
        </w:tc>
      </w:tr>
      <w:tr w:rsidR="00102280" w14:paraId="296DC530" w14:textId="77777777">
        <w:trPr>
          <w:jc w:val="center"/>
        </w:trPr>
        <w:tc>
          <w:tcPr>
            <w:tcW w:w="2880" w:type="dxa"/>
          </w:tcPr>
          <w:p w14:paraId="3258A000" w14:textId="77777777" w:rsidR="00102280" w:rsidRDefault="00FB1280">
            <w:r>
              <w:rPr>
                <w:sz w:val="18"/>
              </w:rPr>
              <w:t>Step-up neuropathic pain option</w:t>
            </w:r>
          </w:p>
        </w:tc>
        <w:tc>
          <w:tcPr>
            <w:tcW w:w="7488" w:type="dxa"/>
          </w:tcPr>
          <w:p w14:paraId="0CFEE397" w14:textId="77777777" w:rsidR="00102280" w:rsidRDefault="00FB1280">
            <w:r>
              <w:rPr>
                <w:sz w:val="18"/>
              </w:rPr>
              <w:t>Amitriptyline 5% + Gabapentin 5% + Lidocaine HCl 5% + Menthol 2% in VersaPro Cream. Apply thinly to affected painful area two to three times daily for 2-4 weeks, then review response and tolerability. Quantity: 50 g.</w:t>
            </w:r>
          </w:p>
        </w:tc>
      </w:tr>
      <w:tr w:rsidR="00102280" w14:paraId="70C9EBB5" w14:textId="77777777">
        <w:trPr>
          <w:jc w:val="center"/>
        </w:trPr>
        <w:tc>
          <w:tcPr>
            <w:tcW w:w="2880" w:type="dxa"/>
          </w:tcPr>
          <w:p w14:paraId="73329827" w14:textId="77777777" w:rsidR="00102280" w:rsidRDefault="00FB1280">
            <w:r>
              <w:rPr>
                <w:sz w:val="18"/>
              </w:rPr>
              <w:t>Step-up option with muscle tightness</w:t>
            </w:r>
          </w:p>
        </w:tc>
        <w:tc>
          <w:tcPr>
            <w:tcW w:w="7488" w:type="dxa"/>
          </w:tcPr>
          <w:p w14:paraId="77040893" w14:textId="77777777" w:rsidR="00102280" w:rsidRDefault="00FB1280">
            <w:r>
              <w:rPr>
                <w:sz w:val="18"/>
              </w:rPr>
              <w:t>Amitriptyline 5% + Gabapentin 5% + Lidocaine HCl 5% + Menthol 2% + Cyclobenzaprine HCl 1% in VersaPro Cream. Apply thinly to affected area two to three times daily for 2-4 weeks, then review.</w:t>
            </w:r>
          </w:p>
        </w:tc>
      </w:tr>
      <w:tr w:rsidR="00102280" w14:paraId="50DA00D8" w14:textId="77777777">
        <w:trPr>
          <w:jc w:val="center"/>
        </w:trPr>
        <w:tc>
          <w:tcPr>
            <w:tcW w:w="2880" w:type="dxa"/>
          </w:tcPr>
          <w:p w14:paraId="0D6465C9" w14:textId="77777777" w:rsidR="00102280" w:rsidRDefault="00FB1280">
            <w:r>
              <w:rPr>
                <w:sz w:val="18"/>
              </w:rPr>
              <w:t>Mixed nerve and muscular/inflammatory pain option</w:t>
            </w:r>
          </w:p>
        </w:tc>
        <w:tc>
          <w:tcPr>
            <w:tcW w:w="7488" w:type="dxa"/>
          </w:tcPr>
          <w:p w14:paraId="5FA17A34" w14:textId="77777777" w:rsidR="00102280" w:rsidRDefault="00FB1280">
            <w:r>
              <w:rPr>
                <w:sz w:val="18"/>
              </w:rPr>
              <w:t>Amitriptyline HCl 2% + Gabapentin 2% + Ketoprofen 10% + Lidocaine HCl 5% + Menthol 2% in VersaPro Cream. Apply thinly to affected area two to three times daily. Review after 2-4 weeks, or earlier if used for acute inflammatory pain.</w:t>
            </w:r>
          </w:p>
        </w:tc>
      </w:tr>
      <w:tr w:rsidR="00102280" w14:paraId="109070A1" w14:textId="77777777">
        <w:trPr>
          <w:jc w:val="center"/>
        </w:trPr>
        <w:tc>
          <w:tcPr>
            <w:tcW w:w="2880" w:type="dxa"/>
          </w:tcPr>
          <w:p w14:paraId="565F4425" w14:textId="77777777" w:rsidR="00102280" w:rsidRDefault="00FB1280">
            <w:r>
              <w:rPr>
                <w:sz w:val="18"/>
              </w:rPr>
              <w:t>Advanced refractory neuropathic pain option</w:t>
            </w:r>
          </w:p>
        </w:tc>
        <w:tc>
          <w:tcPr>
            <w:tcW w:w="7488" w:type="dxa"/>
          </w:tcPr>
          <w:p w14:paraId="1FC62BF1" w14:textId="77777777" w:rsidR="00102280" w:rsidRDefault="00FB1280">
            <w:r>
              <w:rPr>
                <w:sz w:val="18"/>
              </w:rPr>
              <w:t>Gabapentin 5% + Ketamine HCl 11.5% + Ketoprofen 10% + Lidocaine HCl 5% + Menthol 2% in VersaPro Cream. Apply thinly to affected painful area two to three times daily for 2-4 weeks, then review benefit, tolerability and affordability.</w:t>
            </w:r>
          </w:p>
        </w:tc>
      </w:tr>
    </w:tbl>
    <w:p w14:paraId="103D8D2F" w14:textId="77777777" w:rsidR="00102280" w:rsidRDefault="00102280">
      <w:pPr>
        <w:spacing w:after="120" w:line="252" w:lineRule="auto"/>
      </w:pPr>
    </w:p>
    <w:p w14:paraId="245DFC7F" w14:textId="77777777" w:rsidR="00102280" w:rsidRDefault="00FB1280">
      <w:pPr>
        <w:pStyle w:val="Heading1"/>
        <w:spacing w:after="120" w:line="252" w:lineRule="auto"/>
      </w:pPr>
      <w:r>
        <w:t>Short website intro copy</w:t>
      </w:r>
    </w:p>
    <w:p w14:paraId="44AC655C" w14:textId="77777777" w:rsidR="00102280" w:rsidRDefault="00FB1280">
      <w:pPr>
        <w:spacing w:after="120" w:line="252" w:lineRule="auto"/>
      </w:pPr>
      <w:r>
        <w:t>For doctors and prescribers: Heywood Compounding can prepare customised topical formulations for selected patients with localised neuropathic pain, burning pain, allodynia, post-herpetic neuralgia-type symptoms, diabetic neuropathy-type symptoms or mixed nerve and musculoskeletal pain. Options may include amitriptyline, gabapentin, lidocaine, menthol, ketoprofen, cyclobenzaprine and ketamine according to the prescriber's directions. These formulations should be considered individualised therapeutic trials, with review of response, tolerability and ongoing need.</w:t>
      </w:r>
    </w:p>
    <w:p w14:paraId="24B9505E" w14:textId="77777777" w:rsidR="00102280" w:rsidRDefault="00FB1280">
      <w:pPr>
        <w:pStyle w:val="Heading1"/>
        <w:spacing w:after="120" w:line="252" w:lineRule="auto"/>
      </w:pPr>
      <w:r>
        <w:t>Evidence summary</w:t>
      </w:r>
    </w:p>
    <w:p w14:paraId="744CE6BC" w14:textId="77777777" w:rsidR="00102280" w:rsidRDefault="00FB1280">
      <w:pPr>
        <w:spacing w:after="120" w:line="252" w:lineRule="auto"/>
      </w:pPr>
      <w:r>
        <w:t>Evidence for compounded topical neuropathic-pain combinations is limited and mixed. Some individual ingredients have plausible pharmacological mechanisms, and topical therapy may be attractive for localised symptoms or for patients who cannot tolerate oral therapy. However, high-quality evidence supporting multi-ingredient compounded creams is not strong.</w:t>
      </w:r>
    </w:p>
    <w:p w14:paraId="453CAA2A" w14:textId="77777777" w:rsidR="00102280" w:rsidRDefault="00FB1280">
      <w:pPr>
        <w:spacing w:after="120" w:line="252" w:lineRule="auto"/>
      </w:pPr>
      <w:r>
        <w:t>A randomised controlled trial of compounded topical pain creams for localised chronic pain found no evidence of meaningful benefit over placebo overall. Therefore, these therapies should be positioned as prescriber-directed individualised trials rather than proven first-line treatments.</w:t>
      </w:r>
    </w:p>
    <w:p w14:paraId="4358EE71" w14:textId="77777777" w:rsidR="00102280" w:rsidRDefault="00FB1280">
      <w:pPr>
        <w:spacing w:after="120" w:line="252" w:lineRule="auto"/>
      </w:pPr>
      <w:r>
        <w:t>The National Academies review concluded that, for many active ingredients used in compounded topical pain creams, there is limited evidence regarding topical absorption, dermal penetration, clinical effectiveness and safety. This is particularly relevant for multi-ingredient formulas.</w:t>
      </w:r>
    </w:p>
    <w:p w14:paraId="45C02F14" w14:textId="77777777" w:rsidR="00102280" w:rsidRDefault="00FB1280">
      <w:pPr>
        <w:spacing w:after="120" w:line="252" w:lineRule="auto"/>
      </w:pPr>
      <w:r>
        <w:t>Ketamine-containing topical formulations have some case-series and retrospective evidence in neuropathic pain, but data are limited and should be interpreted cautiously. Ketamine formulas may also be significantly more expensive than standard options.</w:t>
      </w:r>
    </w:p>
    <w:p w14:paraId="78DAFDC9" w14:textId="77777777" w:rsidR="00102280" w:rsidRDefault="00FB1280">
      <w:pPr>
        <w:spacing w:after="120" w:line="252" w:lineRule="auto"/>
      </w:pPr>
      <w:r>
        <w:t>Topical lidocaine has a clearer rationale where pain is superficial, localised and associated with allodynia or local sensitivity, although compounded lidocaine-containing combinations should still be reviewed for benefit and tolerability.</w:t>
      </w:r>
    </w:p>
    <w:p w14:paraId="0446FAF7" w14:textId="77777777" w:rsidR="00102280" w:rsidRDefault="00FB1280">
      <w:pPr>
        <w:pStyle w:val="Heading1"/>
        <w:spacing w:after="120" w:line="252" w:lineRule="auto"/>
      </w:pPr>
      <w:r>
        <w:lastRenderedPageBreak/>
        <w:t>References and source notes</w:t>
      </w:r>
    </w:p>
    <w:p w14:paraId="32167B6C" w14:textId="77777777" w:rsidR="00102280" w:rsidRDefault="00FB1280">
      <w:pPr>
        <w:pStyle w:val="ListNumber"/>
        <w:spacing w:after="120" w:line="252" w:lineRule="auto"/>
      </w:pPr>
      <w:r>
        <w:t>Brutcher RE, Kurihara C, Bicket MC, et al. Compounded Topical Pain Creams to Treat Localized Chronic Pain: A Randomized Controlled Trial. Annals of Internal Medicine. 2019. https://www.acpjournals.org/doi/10.7326/M18-2736</w:t>
      </w:r>
    </w:p>
    <w:p w14:paraId="23899FB9" w14:textId="77777777" w:rsidR="00102280" w:rsidRDefault="00FB1280">
      <w:pPr>
        <w:pStyle w:val="ListNumber"/>
        <w:spacing w:after="120" w:line="252" w:lineRule="auto"/>
      </w:pPr>
      <w:r>
        <w:t>National Academies of Sciences, Engineering, and Medicine. Compounded Topical Pain Creams: Review of Select Ingredients for Safety, Effectiveness, and Use. Washington, DC: National Academies Press; 2020. https://www.nationalacademies.org/read/25689</w:t>
      </w:r>
    </w:p>
    <w:p w14:paraId="71C14C9A" w14:textId="77777777" w:rsidR="00102280" w:rsidRDefault="00FB1280">
      <w:pPr>
        <w:pStyle w:val="ListNumber"/>
        <w:spacing w:after="120" w:line="252" w:lineRule="auto"/>
      </w:pPr>
      <w:r>
        <w:t>Jackson LM, Schwinn DA, editors. Compounded Topical Pain Creams. National Academies / NCBI Bookshelf. 2020. https://www.ncbi.nlm.nih.gov/books/NBK560337/</w:t>
      </w:r>
    </w:p>
    <w:p w14:paraId="1FA4AC54" w14:textId="77777777" w:rsidR="00102280" w:rsidRDefault="00FB1280">
      <w:pPr>
        <w:pStyle w:val="ListNumber"/>
        <w:spacing w:after="120" w:line="252" w:lineRule="auto"/>
      </w:pPr>
      <w:r>
        <w:t>Tam E, Furlan AD. Transdermal Lidocaine and Ketamine for Neuropathic Pain: A Study of Effectiveness and Tolerability. The Open Neurology Journal. 2012. https://pmc.ncbi.nlm.nih.gov/articles/PMC3401865/</w:t>
      </w:r>
    </w:p>
    <w:p w14:paraId="0B73DA13" w14:textId="77777777" w:rsidR="00102280" w:rsidRDefault="00FB1280">
      <w:pPr>
        <w:pStyle w:val="ListNumber"/>
        <w:spacing w:after="120" w:line="252" w:lineRule="auto"/>
      </w:pPr>
      <w:r>
        <w:t>Derry S, Wiffen PJ, Moore RA, Quinlan J. Topical lidocaine for neuropathic pain in adults. Cochrane Database of Systematic Reviews. https://www.cochranelibrary.com/</w:t>
      </w:r>
    </w:p>
    <w:p w14:paraId="7681D048" w14:textId="77777777" w:rsidR="00102280" w:rsidRDefault="00FB1280">
      <w:pPr>
        <w:pStyle w:val="ListNumber"/>
        <w:spacing w:after="120" w:line="252" w:lineRule="auto"/>
      </w:pPr>
      <w:r>
        <w:t>Derry S, Conaghan P, Da Silva JAP, Wiffen PJ, Moore RA. Topical NSAIDs for acute musculoskeletal pain in adults. Cochrane Database of Systematic Reviews. 2015. https://pmc.ncbi.nlm.nih.gov/articles/PMC6426435/</w:t>
      </w:r>
    </w:p>
    <w:p w14:paraId="6D206200" w14:textId="77777777" w:rsidR="00102280" w:rsidRDefault="00FB1280">
      <w:pPr>
        <w:pStyle w:val="ListNumber"/>
        <w:spacing w:after="120" w:line="252" w:lineRule="auto"/>
      </w:pPr>
      <w:r>
        <w:t>Product information and local prescribing requirements should be consulted where applicable for lidocaine, ketoprofen, amitriptyline, gabapentin, ketamine and cyclobenzaprine.</w:t>
      </w:r>
    </w:p>
    <w:tbl>
      <w:tblPr>
        <w:tblStyle w:val="TableGrid"/>
        <w:tblW w:w="0" w:type="auto"/>
        <w:tblLook w:val="04A0" w:firstRow="1" w:lastRow="0" w:firstColumn="1" w:lastColumn="0" w:noHBand="0" w:noVBand="1"/>
      </w:tblPr>
      <w:tblGrid>
        <w:gridCol w:w="10358"/>
      </w:tblGrid>
      <w:tr w:rsidR="00102280" w14:paraId="46EC1DD7" w14:textId="77777777">
        <w:tc>
          <w:tcPr>
            <w:tcW w:w="10368" w:type="dxa"/>
            <w:shd w:val="clear" w:color="auto" w:fill="F2F2F2"/>
          </w:tcPr>
          <w:p w14:paraId="0E5C7FFB" w14:textId="77777777" w:rsidR="00102280" w:rsidRDefault="00FB1280">
            <w:r>
              <w:rPr>
                <w:b/>
                <w:color w:val="1F4E79"/>
                <w:sz w:val="21"/>
              </w:rPr>
              <w:t>Disclaimer</w:t>
            </w:r>
          </w:p>
          <w:p w14:paraId="0DA67BE8" w14:textId="77777777" w:rsidR="00102280" w:rsidRDefault="00FB1280">
            <w:r>
              <w:rPr>
                <w:sz w:val="19"/>
              </w:rPr>
              <w:t>This document is provided for healthcare professional discussion only. It does not replace independent clinical judgement, local prescribing requirements, product information, pain specialist advice or neurological assessment. Final prescribing decisions, dose selection, monitoring and review remain the responsibility of the treating prescriber.</w:t>
            </w:r>
          </w:p>
        </w:tc>
      </w:tr>
    </w:tbl>
    <w:p w14:paraId="6B41A189" w14:textId="77777777" w:rsidR="00102280" w:rsidRDefault="00102280">
      <w:pPr>
        <w:spacing w:after="120" w:line="252" w:lineRule="auto"/>
      </w:pPr>
    </w:p>
    <w:sectPr w:rsidR="00102280" w:rsidSect="00034616">
      <w:headerReference w:type="default" r:id="rId8"/>
      <w:footerReference w:type="default" r:id="rId9"/>
      <w:pgSz w:w="12240" w:h="15840"/>
      <w:pgMar w:top="936" w:right="936" w:bottom="936"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D8636" w14:textId="77777777" w:rsidR="00FB1280" w:rsidRDefault="00FB1280">
      <w:pPr>
        <w:spacing w:after="0" w:line="240" w:lineRule="auto"/>
      </w:pPr>
      <w:r>
        <w:separator/>
      </w:r>
    </w:p>
  </w:endnote>
  <w:endnote w:type="continuationSeparator" w:id="0">
    <w:p w14:paraId="3F43FC24" w14:textId="77777777" w:rsidR="00FB1280" w:rsidRDefault="00FB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D0484" w14:textId="77777777" w:rsidR="00102280" w:rsidRDefault="00FB1280">
    <w:pPr>
      <w:pStyle w:val="Footer"/>
      <w:jc w:val="center"/>
    </w:pPr>
    <w:r>
      <w:rPr>
        <w:color w:val="646464"/>
        <w:sz w:val="16"/>
      </w:rPr>
      <w:t>For healthcare professional discussion only. Final prescribing decisions remain the responsibility of the treating prescriber.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E4569" w14:textId="77777777" w:rsidR="00FB1280" w:rsidRDefault="00FB1280">
      <w:pPr>
        <w:spacing w:after="0" w:line="240" w:lineRule="auto"/>
      </w:pPr>
      <w:r>
        <w:separator/>
      </w:r>
    </w:p>
  </w:footnote>
  <w:footnote w:type="continuationSeparator" w:id="0">
    <w:p w14:paraId="41520885" w14:textId="77777777" w:rsidR="00FB1280" w:rsidRDefault="00FB1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0EEAB" w14:textId="77777777" w:rsidR="00102280" w:rsidRDefault="00FB1280">
    <w:pPr>
      <w:pStyle w:val="Header"/>
      <w:jc w:val="right"/>
    </w:pPr>
    <w:r>
      <w:rPr>
        <w:color w:val="646464"/>
        <w:sz w:val="16"/>
      </w:rPr>
      <w:t>Heywood Compounding | Healthcare Professional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7695043">
    <w:abstractNumId w:val="8"/>
  </w:num>
  <w:num w:numId="2" w16cid:durableId="734663578">
    <w:abstractNumId w:val="6"/>
  </w:num>
  <w:num w:numId="3" w16cid:durableId="930507969">
    <w:abstractNumId w:val="5"/>
  </w:num>
  <w:num w:numId="4" w16cid:durableId="66195077">
    <w:abstractNumId w:val="4"/>
  </w:num>
  <w:num w:numId="5" w16cid:durableId="1657225050">
    <w:abstractNumId w:val="7"/>
  </w:num>
  <w:num w:numId="6" w16cid:durableId="1934392783">
    <w:abstractNumId w:val="3"/>
  </w:num>
  <w:num w:numId="7" w16cid:durableId="1129203427">
    <w:abstractNumId w:val="2"/>
  </w:num>
  <w:num w:numId="8" w16cid:durableId="1095441532">
    <w:abstractNumId w:val="1"/>
  </w:num>
  <w:num w:numId="9" w16cid:durableId="9497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280"/>
    <w:rsid w:val="0015074B"/>
    <w:rsid w:val="00295136"/>
    <w:rsid w:val="0029639D"/>
    <w:rsid w:val="00326F90"/>
    <w:rsid w:val="005D44F6"/>
    <w:rsid w:val="00AA1D8D"/>
    <w:rsid w:val="00B47730"/>
    <w:rsid w:val="00B963CF"/>
    <w:rsid w:val="00CB0664"/>
    <w:rsid w:val="00FB12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2D94"/>
  <w14:defaultImageDpi w14:val="300"/>
  <w15:docId w15:val="{2C8C7278-0B09-46C1-AF8E-EA2BCCA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Chan</cp:lastModifiedBy>
  <cp:revision>3</cp:revision>
  <dcterms:created xsi:type="dcterms:W3CDTF">2026-06-14T06:15:00Z</dcterms:created>
  <dcterms:modified xsi:type="dcterms:W3CDTF">2026-06-15T04:41:00Z</dcterms:modified>
  <cp:category/>
</cp:coreProperties>
</file>