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758A0" w14:textId="77777777" w:rsidR="00D1640D" w:rsidRDefault="006C0436">
      <w:pPr>
        <w:pStyle w:val="Title"/>
        <w:jc w:val="center"/>
      </w:pPr>
      <w:r>
        <w:t>Prescriber Information</w:t>
      </w:r>
    </w:p>
    <w:p w14:paraId="4E4FAFCA" w14:textId="77777777" w:rsidR="00D1640D" w:rsidRDefault="006C0436">
      <w:pPr>
        <w:jc w:val="center"/>
      </w:pPr>
      <w:r>
        <w:rPr>
          <w:b/>
          <w:color w:val="375946"/>
          <w:sz w:val="28"/>
        </w:rPr>
        <w:t>Anal Fissure, Post-Anal Surgery Pain and Thrombosed Haemorrhoids</w:t>
      </w:r>
    </w:p>
    <w:p w14:paraId="6217C507" w14:textId="48EF3BBE" w:rsidR="00D1640D" w:rsidRDefault="006C0436">
      <w:pPr>
        <w:jc w:val="center"/>
      </w:pPr>
      <w:r>
        <w:rPr>
          <w:b/>
          <w:sz w:val="24"/>
        </w:rPr>
        <w:t>Nifedipine 0.5</w:t>
      </w:r>
      <w:r>
        <w:rPr>
          <w:b/>
          <w:sz w:val="24"/>
        </w:rPr>
        <w:t>% + Lidocaine 1.5% Rectal Ointment</w:t>
      </w:r>
    </w:p>
    <w:tbl>
      <w:tblPr>
        <w:tblW w:w="0" w:type="auto"/>
        <w:jc w:val="center"/>
        <w:tblBorders>
          <w:top w:val="single" w:sz="4" w:space="0" w:color="D9E2E8"/>
          <w:left w:val="single" w:sz="4" w:space="0" w:color="D9E2E8"/>
          <w:bottom w:val="single" w:sz="4" w:space="0" w:color="D9E2E8"/>
          <w:right w:val="single" w:sz="4" w:space="0" w:color="D9E2E8"/>
          <w:insideH w:val="single" w:sz="4" w:space="0" w:color="D9E2E8"/>
          <w:insideV w:val="single" w:sz="4" w:space="0" w:color="D9E2E8"/>
        </w:tblBorders>
        <w:tblLook w:val="04A0" w:firstRow="1" w:lastRow="0" w:firstColumn="1" w:lastColumn="0" w:noHBand="0" w:noVBand="1"/>
      </w:tblPr>
      <w:tblGrid>
        <w:gridCol w:w="10214"/>
      </w:tblGrid>
      <w:tr w:rsidR="00D1640D" w14:paraId="0D946330" w14:textId="77777777">
        <w:trPr>
          <w:jc w:val="center"/>
        </w:trPr>
        <w:tc>
          <w:tcPr>
            <w:tcW w:w="10224" w:type="dxa"/>
            <w:shd w:val="clear" w:color="auto" w:fill="EAF4EF"/>
          </w:tcPr>
          <w:p w14:paraId="44EE85EB" w14:textId="77777777" w:rsidR="00D1640D" w:rsidRDefault="006C0436">
            <w:r>
              <w:rPr>
                <w:b/>
                <w:color w:val="1A4D3A"/>
              </w:rPr>
              <w:t>Healthcare professional information only</w:t>
            </w:r>
          </w:p>
        </w:tc>
      </w:tr>
      <w:tr w:rsidR="00D1640D" w14:paraId="79B4E7D9" w14:textId="77777777">
        <w:trPr>
          <w:jc w:val="center"/>
        </w:trPr>
        <w:tc>
          <w:tcPr>
            <w:tcW w:w="10224" w:type="dxa"/>
            <w:shd w:val="clear" w:color="auto" w:fill="EAF4EF"/>
          </w:tcPr>
          <w:p w14:paraId="10ADE19C" w14:textId="77777777" w:rsidR="00D1640D" w:rsidRDefault="006C0436">
            <w:r>
              <w:rPr>
                <w:sz w:val="18"/>
              </w:rPr>
              <w:t xml:space="preserve">This information is intended for registered healthcare </w:t>
            </w:r>
            <w:r>
              <w:rPr>
                <w:sz w:val="18"/>
              </w:rPr>
              <w:t>professionals. Compounded preparations should be prescribed only after appropriate clinical assessment and review of patient-specific risks, treatment goals and response.</w:t>
            </w:r>
          </w:p>
        </w:tc>
      </w:tr>
    </w:tbl>
    <w:p w14:paraId="2C2F694B" w14:textId="77777777" w:rsidR="00D1640D" w:rsidRDefault="006C0436">
      <w:pPr>
        <w:pStyle w:val="Heading1"/>
      </w:pPr>
      <w:r>
        <w:t>Clinical Context</w:t>
      </w:r>
    </w:p>
    <w:p w14:paraId="31E726A8" w14:textId="77777777" w:rsidR="00D1640D" w:rsidRDefault="006C0436">
      <w:r>
        <w:rPr>
          <w:b/>
        </w:rPr>
        <w:t xml:space="preserve">Compounded nifedipine rectal ointment </w:t>
      </w:r>
      <w:r>
        <w:t>may be considered as a prescriber-directed topical option for selected patients with anal fissure, post-anorectal surgery pain associated with internal anal sphincter spasm, or acute thrombosed external haemorrhoids.</w:t>
      </w:r>
    </w:p>
    <w:p w14:paraId="0BC2CEA8" w14:textId="77777777" w:rsidR="00D1640D" w:rsidRDefault="006C0436">
      <w:r>
        <w:rPr>
          <w:b/>
        </w:rPr>
        <w:t xml:space="preserve">Nifedipine </w:t>
      </w:r>
      <w:r>
        <w:t xml:space="preserve">is a calcium-channel blocker that may reduce internal anal sphincter tone and resting anal pressure. </w:t>
      </w:r>
      <w:r>
        <w:rPr>
          <w:b/>
        </w:rPr>
        <w:t xml:space="preserve">Lidocaine </w:t>
      </w:r>
      <w:r>
        <w:t>provides local anaesthetic pain relief. Topical calcium-channel blockers, including nifedipine, are used as non-surgical options for anal fissure management. RACGP AJGP notes topical nifedipine 0.2-0.5% gel and diltiazem 2% cream among commonly used topical calcium-channel blocker options for anal fissure management.</w:t>
      </w:r>
    </w:p>
    <w:p w14:paraId="4B7EAB6B" w14:textId="77777777" w:rsidR="00D1640D" w:rsidRDefault="006C0436">
      <w:pPr>
        <w:pStyle w:val="Heading1"/>
      </w:pPr>
      <w:r>
        <w:t>Suggested Compounding Option</w:t>
      </w:r>
    </w:p>
    <w:tbl>
      <w:tblPr>
        <w:tblW w:w="0" w:type="auto"/>
        <w:jc w:val="center"/>
        <w:tblBorders>
          <w:top w:val="single" w:sz="4" w:space="0" w:color="D9E2E8"/>
          <w:left w:val="single" w:sz="4" w:space="0" w:color="D9E2E8"/>
          <w:bottom w:val="single" w:sz="4" w:space="0" w:color="D9E2E8"/>
          <w:right w:val="single" w:sz="4" w:space="0" w:color="D9E2E8"/>
          <w:insideH w:val="single" w:sz="4" w:space="0" w:color="D9E2E8"/>
          <w:insideV w:val="single" w:sz="4" w:space="0" w:color="D9E2E8"/>
        </w:tblBorders>
        <w:tblLook w:val="04A0" w:firstRow="1" w:lastRow="0" w:firstColumn="1" w:lastColumn="0" w:noHBand="0" w:noVBand="1"/>
      </w:tblPr>
      <w:tblGrid>
        <w:gridCol w:w="5107"/>
        <w:gridCol w:w="5107"/>
      </w:tblGrid>
      <w:tr w:rsidR="00D1640D" w14:paraId="6B43FE21" w14:textId="77777777">
        <w:trPr>
          <w:jc w:val="center"/>
        </w:trPr>
        <w:tc>
          <w:tcPr>
            <w:tcW w:w="5112" w:type="dxa"/>
            <w:shd w:val="clear" w:color="auto" w:fill="EAF4EF"/>
            <w:vAlign w:val="center"/>
          </w:tcPr>
          <w:p w14:paraId="5582FE0A" w14:textId="77777777" w:rsidR="00D1640D" w:rsidRDefault="006C0436">
            <w:r>
              <w:rPr>
                <w:b/>
                <w:sz w:val="18"/>
              </w:rPr>
              <w:t>Formula</w:t>
            </w:r>
          </w:p>
        </w:tc>
        <w:tc>
          <w:tcPr>
            <w:tcW w:w="5112" w:type="dxa"/>
            <w:vAlign w:val="center"/>
          </w:tcPr>
          <w:p w14:paraId="1D589B21" w14:textId="77D01A7E" w:rsidR="00D1640D" w:rsidRDefault="006C0436">
            <w:r>
              <w:rPr>
                <w:sz w:val="18"/>
              </w:rPr>
              <w:t>Nifedipine 0.5</w:t>
            </w:r>
            <w:r>
              <w:rPr>
                <w:sz w:val="18"/>
              </w:rPr>
              <w:t>% + Lidocaine 1.5% Rectal Ointment</w:t>
            </w:r>
          </w:p>
        </w:tc>
      </w:tr>
      <w:tr w:rsidR="00D1640D" w14:paraId="410A43F4" w14:textId="77777777">
        <w:trPr>
          <w:jc w:val="center"/>
        </w:trPr>
        <w:tc>
          <w:tcPr>
            <w:tcW w:w="5112" w:type="dxa"/>
            <w:shd w:val="clear" w:color="auto" w:fill="EAF4EF"/>
            <w:vAlign w:val="center"/>
          </w:tcPr>
          <w:p w14:paraId="2A791A39" w14:textId="77777777" w:rsidR="00D1640D" w:rsidRDefault="006C0436">
            <w:r>
              <w:rPr>
                <w:b/>
                <w:sz w:val="18"/>
              </w:rPr>
              <w:t>Suggested quantity</w:t>
            </w:r>
          </w:p>
        </w:tc>
        <w:tc>
          <w:tcPr>
            <w:tcW w:w="5112" w:type="dxa"/>
            <w:vAlign w:val="center"/>
          </w:tcPr>
          <w:p w14:paraId="02EFB548" w14:textId="77777777" w:rsidR="00D1640D" w:rsidRDefault="006C0436">
            <w:r>
              <w:rPr>
                <w:sz w:val="18"/>
              </w:rPr>
              <w:t>30 g to 50 g</w:t>
            </w:r>
          </w:p>
        </w:tc>
      </w:tr>
      <w:tr w:rsidR="00D1640D" w14:paraId="4171BB75" w14:textId="77777777">
        <w:trPr>
          <w:jc w:val="center"/>
        </w:trPr>
        <w:tc>
          <w:tcPr>
            <w:tcW w:w="5112" w:type="dxa"/>
            <w:shd w:val="clear" w:color="auto" w:fill="EAF4EF"/>
            <w:vAlign w:val="center"/>
          </w:tcPr>
          <w:p w14:paraId="41DDB558" w14:textId="77777777" w:rsidR="00D1640D" w:rsidRDefault="006C0436">
            <w:r>
              <w:rPr>
                <w:b/>
                <w:sz w:val="18"/>
              </w:rPr>
              <w:t xml:space="preserve">Suggested </w:t>
            </w:r>
            <w:r>
              <w:rPr>
                <w:b/>
                <w:sz w:val="18"/>
              </w:rPr>
              <w:t>directions</w:t>
            </w:r>
          </w:p>
        </w:tc>
        <w:tc>
          <w:tcPr>
            <w:tcW w:w="5112" w:type="dxa"/>
            <w:vAlign w:val="center"/>
          </w:tcPr>
          <w:p w14:paraId="7182C94E" w14:textId="77777777" w:rsidR="00D1640D" w:rsidRDefault="006C0436">
            <w:r>
              <w:rPr>
                <w:sz w:val="18"/>
              </w:rPr>
              <w:t>Apply a small amount to the anal canal/perianal area BD, or BD-TDS as directed.</w:t>
            </w:r>
          </w:p>
        </w:tc>
      </w:tr>
      <w:tr w:rsidR="00D1640D" w14:paraId="6D112B18" w14:textId="77777777">
        <w:trPr>
          <w:jc w:val="center"/>
        </w:trPr>
        <w:tc>
          <w:tcPr>
            <w:tcW w:w="5112" w:type="dxa"/>
            <w:shd w:val="clear" w:color="auto" w:fill="EAF4EF"/>
            <w:vAlign w:val="center"/>
          </w:tcPr>
          <w:p w14:paraId="433156BD" w14:textId="77777777" w:rsidR="00D1640D" w:rsidRDefault="006C0436">
            <w:r>
              <w:rPr>
                <w:b/>
                <w:sz w:val="18"/>
              </w:rPr>
              <w:t>Typical fissure duration</w:t>
            </w:r>
          </w:p>
        </w:tc>
        <w:tc>
          <w:tcPr>
            <w:tcW w:w="5112" w:type="dxa"/>
            <w:vAlign w:val="center"/>
          </w:tcPr>
          <w:p w14:paraId="56D96554" w14:textId="77777777" w:rsidR="00D1640D" w:rsidRDefault="006C0436">
            <w:r>
              <w:rPr>
                <w:sz w:val="18"/>
              </w:rPr>
              <w:t>Usually 4-8 weeks, depending on clinical response and prescriber review.</w:t>
            </w:r>
          </w:p>
        </w:tc>
      </w:tr>
      <w:tr w:rsidR="00D1640D" w14:paraId="4853B4BD" w14:textId="77777777">
        <w:trPr>
          <w:jc w:val="center"/>
        </w:trPr>
        <w:tc>
          <w:tcPr>
            <w:tcW w:w="5112" w:type="dxa"/>
            <w:shd w:val="clear" w:color="auto" w:fill="EAF4EF"/>
            <w:vAlign w:val="center"/>
          </w:tcPr>
          <w:p w14:paraId="46AF20EB" w14:textId="77777777" w:rsidR="00D1640D" w:rsidRDefault="006C0436">
            <w:r>
              <w:rPr>
                <w:b/>
                <w:sz w:val="18"/>
              </w:rPr>
              <w:t>Post-operative use</w:t>
            </w:r>
          </w:p>
        </w:tc>
        <w:tc>
          <w:tcPr>
            <w:tcW w:w="5112" w:type="dxa"/>
            <w:vAlign w:val="center"/>
          </w:tcPr>
          <w:p w14:paraId="478EB21C" w14:textId="77777777" w:rsidR="00D1640D" w:rsidRDefault="006C0436">
            <w:r>
              <w:rPr>
                <w:sz w:val="18"/>
              </w:rPr>
              <w:t>Usually shorter-term and directed by the treating surgeon or prescriber.</w:t>
            </w:r>
          </w:p>
        </w:tc>
      </w:tr>
    </w:tbl>
    <w:p w14:paraId="4E4984F6" w14:textId="77777777" w:rsidR="00D1640D" w:rsidRDefault="006C0436">
      <w:r>
        <w:rPr>
          <w:b/>
        </w:rPr>
        <w:t xml:space="preserve">Practical prescribing note: </w:t>
      </w:r>
      <w:r>
        <w:t>The proposed formula uses nifedipine 0.5% to align with the upper end of commonly referenced nifedipine topical strengths. Many published combination studies specifically evaluated nifedipine 0.3% with lidocaine 1.5%; published evidence for nifedipine 0.5% exists for acute anal fissure as nifedipine monotherapy in ointment form. Prescribers may choose strength and duration according to clinical indication, severity, tolerability and local practice.</w:t>
      </w:r>
    </w:p>
    <w:p w14:paraId="757EA416" w14:textId="77777777" w:rsidR="00D1640D" w:rsidRDefault="006C0436">
      <w:pPr>
        <w:pStyle w:val="Heading1"/>
      </w:pPr>
      <w:r>
        <w:t>Potential Clinical Applications</w:t>
      </w:r>
    </w:p>
    <w:p w14:paraId="1669CE37" w14:textId="77777777" w:rsidR="00D1640D" w:rsidRDefault="006C0436">
      <w:pPr>
        <w:pStyle w:val="Heading2"/>
      </w:pPr>
      <w:r>
        <w:t>1. Anal fissure</w:t>
      </w:r>
    </w:p>
    <w:p w14:paraId="7418CEF2" w14:textId="77777777" w:rsidR="00D1640D" w:rsidRDefault="006C0436">
      <w:r>
        <w:rPr>
          <w:b/>
        </w:rPr>
        <w:t xml:space="preserve">Rationale: </w:t>
      </w:r>
      <w:r>
        <w:t>Topical nifedipine may be used to reduce internal anal sphincter spasm, improve local perfusion and support fissure healing. A prospective randomised double-blind study evaluated nifedipine 0.3% + lidocaine 1.5% ointment applied every 12 hours for chronic anal fissure and reported significantly higher healing than active control. RACGP AJGP describes nifedipine 0.2-0.5% gel as a commonly used topical calcium-channel blocker option. A separate study evaluated topical nifedipine 0.5% ointment for acute anal f</w:t>
      </w:r>
      <w:r>
        <w:t>issure.</w:t>
      </w:r>
    </w:p>
    <w:p w14:paraId="76C8183D" w14:textId="77777777" w:rsidR="00D1640D" w:rsidRDefault="006C0436">
      <w:pPr>
        <w:pStyle w:val="Heading2"/>
      </w:pPr>
      <w:r>
        <w:lastRenderedPageBreak/>
        <w:t>2. Post-haemorrhoidectomy / post-anorectal surgery pain</w:t>
      </w:r>
    </w:p>
    <w:p w14:paraId="7556E5F3" w14:textId="77777777" w:rsidR="00D1640D" w:rsidRDefault="006C0436">
      <w:r>
        <w:rPr>
          <w:b/>
        </w:rPr>
        <w:t xml:space="preserve">Rationale: </w:t>
      </w:r>
      <w:r>
        <w:t>Post-operative anorectal pain may be partly related to internal anal sphincter spasm. A multicentre randomised double-blind trial studied nifedipine 0.3% + lidocaine 1.5% ointment versus lidocaine alone after haemorrhoidectomy, with pain outcomes assessed over the immediate post-operative period and follow-up.</w:t>
      </w:r>
    </w:p>
    <w:p w14:paraId="21C09CFB" w14:textId="77777777" w:rsidR="00D1640D" w:rsidRDefault="006C0436">
      <w:r>
        <w:rPr>
          <w:b/>
        </w:rPr>
        <w:t xml:space="preserve">Clinical caution: </w:t>
      </w:r>
      <w:r>
        <w:t>Use after anorectal surgery should be surgeon- or prescriber-directed, particularly where there is concern regarding wound healing, bleeding, infection, urinary retention, severe pain, fever, abscess, or other post-operative complications.</w:t>
      </w:r>
    </w:p>
    <w:p w14:paraId="75530CD7" w14:textId="77777777" w:rsidR="00D1640D" w:rsidRDefault="006C0436">
      <w:pPr>
        <w:pStyle w:val="Heading2"/>
      </w:pPr>
      <w:r>
        <w:t>3. Acute thrombosed external haemorrhoids</w:t>
      </w:r>
    </w:p>
    <w:p w14:paraId="0E209523" w14:textId="77777777" w:rsidR="00D1640D" w:rsidRDefault="006C0436">
      <w:r>
        <w:rPr>
          <w:b/>
        </w:rPr>
        <w:t xml:space="preserve">Rationale: </w:t>
      </w:r>
      <w:r>
        <w:t xml:space="preserve">A </w:t>
      </w:r>
      <w:r>
        <w:t>randomised study evaluated topical nifedipine 0.3% + lidocaine 1.5% ointment every 12 hours for two weeks in acute thrombosed external haemorrhoids, compared with lidocaine alone.</w:t>
      </w:r>
    </w:p>
    <w:p w14:paraId="13060B1A" w14:textId="77777777" w:rsidR="00D1640D" w:rsidRDefault="006C0436">
      <w:r>
        <w:rPr>
          <w:b/>
        </w:rPr>
        <w:t xml:space="preserve">Important clarification: </w:t>
      </w:r>
      <w:r>
        <w:t>In this setting, nifedipine is not intended to dissolve the clot directly. The proposed benefit is reduction of sphincter spasm and pain while the thrombosis resolves or while the patient is managed conservatively.</w:t>
      </w:r>
    </w:p>
    <w:p w14:paraId="69E49E70" w14:textId="77777777" w:rsidR="00D1640D" w:rsidRDefault="006C0436">
      <w:pPr>
        <w:pStyle w:val="Heading1"/>
      </w:pPr>
      <w:r>
        <w:t>Clinical Notes for Prescribers</w:t>
      </w:r>
    </w:p>
    <w:p w14:paraId="029F1F29" w14:textId="77777777" w:rsidR="00D1640D" w:rsidRDefault="006C0436">
      <w:pPr>
        <w:ind w:left="216" w:hanging="216"/>
      </w:pPr>
      <w:r>
        <w:rPr>
          <w:b/>
        </w:rPr>
        <w:t xml:space="preserve">• </w:t>
      </w:r>
      <w:r>
        <w:t>Use as part of broader fissure or anorectal management, including stool softening where appropriate, avoidance of straining, adequate fluid and fibre intake, analgesia where clinically indicated, and review for red flags or non-healing lesions.</w:t>
      </w:r>
    </w:p>
    <w:p w14:paraId="2D7B0DA9" w14:textId="77777777" w:rsidR="00D1640D" w:rsidRDefault="006C0436">
      <w:pPr>
        <w:ind w:left="216" w:hanging="216"/>
      </w:pPr>
      <w:r>
        <w:rPr>
          <w:b/>
        </w:rPr>
        <w:t xml:space="preserve">• </w:t>
      </w:r>
      <w:r>
        <w:t>Prescriber review is recommended if symptoms persist, worsen, or recur, or if there is significant bleeding, systemic symptoms, suspected abscess, inflammatory bowel disease, malignancy concern, or post-operative complication.</w:t>
      </w:r>
    </w:p>
    <w:p w14:paraId="64C7D4DA" w14:textId="77777777" w:rsidR="00D1640D" w:rsidRDefault="006C0436">
      <w:pPr>
        <w:ind w:left="216" w:hanging="216"/>
      </w:pPr>
      <w:r>
        <w:rPr>
          <w:b/>
        </w:rPr>
        <w:t xml:space="preserve">• </w:t>
      </w:r>
      <w:r>
        <w:t>Use with caution in patients sensitive to local anaesthetics or calcium-channel blockers. Consider pregnancy/lactation status, concurrent antihypertensives and patient frailty where clinically relevant.</w:t>
      </w:r>
    </w:p>
    <w:p w14:paraId="613D9279" w14:textId="77777777" w:rsidR="00D1640D" w:rsidRDefault="006C0436">
      <w:pPr>
        <w:ind w:left="216" w:hanging="216"/>
      </w:pPr>
      <w:r>
        <w:rPr>
          <w:b/>
        </w:rPr>
        <w:t xml:space="preserve">• </w:t>
      </w:r>
      <w:r>
        <w:t>Systemic absorption is generally expected to be low with topical anorectal use, but patients should be counselled to stop and seek advice if they experience dizziness, hypotensive symptoms, significant irritation, rash, allergic symptoms, or worsening pain.</w:t>
      </w:r>
    </w:p>
    <w:p w14:paraId="12291FA6" w14:textId="77777777" w:rsidR="00D1640D" w:rsidRDefault="006C0436">
      <w:pPr>
        <w:ind w:left="216" w:hanging="216"/>
      </w:pPr>
      <w:r>
        <w:rPr>
          <w:b/>
        </w:rPr>
        <w:t xml:space="preserve">• </w:t>
      </w:r>
      <w:r>
        <w:t>Avoid excessive application. Local anaesthetic exposure should be considered, especially with frequent application, inflamed or broken mucosa, paediatric exposure, or concurrent lidocaine-containing products.</w:t>
      </w:r>
    </w:p>
    <w:p w14:paraId="10EAE44C" w14:textId="77777777" w:rsidR="00D1640D" w:rsidRDefault="006C0436">
      <w:pPr>
        <w:pStyle w:val="Heading1"/>
      </w:pPr>
      <w:r>
        <w:t>Clinical References</w:t>
      </w:r>
    </w:p>
    <w:p w14:paraId="1E44E7DE" w14:textId="77777777" w:rsidR="00D1640D" w:rsidRDefault="006C0436">
      <w:pPr>
        <w:ind w:left="288" w:hanging="288"/>
      </w:pPr>
      <w:r>
        <w:rPr>
          <w:sz w:val="17"/>
        </w:rPr>
        <w:t xml:space="preserve">1. RACGP AJGP. Anal fissures: An update on treatment options. Australian Journal of General Practice. 2024;53(1-2). </w:t>
      </w:r>
      <w:hyperlink r:id="rId8">
        <w:r>
          <w:rPr>
            <w:color w:val="0563C1"/>
            <w:u w:val="single"/>
          </w:rPr>
          <w:t>https://www1.racgp.org.au/ajgp/2024/january-february/anal-fissures</w:t>
        </w:r>
      </w:hyperlink>
    </w:p>
    <w:p w14:paraId="547FE239" w14:textId="77777777" w:rsidR="00D1640D" w:rsidRDefault="006C0436">
      <w:pPr>
        <w:ind w:left="288" w:hanging="288"/>
      </w:pPr>
      <w:r>
        <w:rPr>
          <w:sz w:val="17"/>
        </w:rPr>
        <w:t xml:space="preserve">2. Perrotti P, Bove A, Antropoli C, et al. Topical nifedipine with lidocaine ointment vs. active control for treatment of chronic anal fissure. Diseases of the Colon &amp; Rectum. 2002;45(11):1468-1475. </w:t>
      </w:r>
      <w:hyperlink r:id="rId9">
        <w:r>
          <w:rPr>
            <w:color w:val="0563C1"/>
            <w:u w:val="single"/>
          </w:rPr>
          <w:t>https://pubmed.ncbi.nlm.nih.gov/12432293/</w:t>
        </w:r>
      </w:hyperlink>
    </w:p>
    <w:p w14:paraId="491695D9" w14:textId="77777777" w:rsidR="00D1640D" w:rsidRDefault="006C0436">
      <w:pPr>
        <w:ind w:left="288" w:hanging="288"/>
      </w:pPr>
      <w:r>
        <w:rPr>
          <w:sz w:val="17"/>
        </w:rPr>
        <w:t xml:space="preserve">3. Merenstein D, Rosenbaum D. Is topical nifedipine effective for chronic anal fissures? Journal of Family Practice. 2003;52(3):190-192. </w:t>
      </w:r>
      <w:hyperlink r:id="rId10">
        <w:r>
          <w:rPr>
            <w:color w:val="0563C1"/>
            <w:u w:val="single"/>
          </w:rPr>
          <w:t>https://pubmed.ncbi.nlm.nih.gov/12620169/</w:t>
        </w:r>
      </w:hyperlink>
    </w:p>
    <w:p w14:paraId="027F8A51" w14:textId="77777777" w:rsidR="00D1640D" w:rsidRDefault="006C0436">
      <w:pPr>
        <w:ind w:left="288" w:hanging="288"/>
      </w:pPr>
      <w:r>
        <w:rPr>
          <w:sz w:val="17"/>
        </w:rPr>
        <w:t xml:space="preserve">4. Perrotti P, Dominici P, Grossi E, et al. Topical nifedipine with lidocaine ointment versus active control for pain after hemorrhoidectomy: results of a multicentre prospective randomized double-blind study. Canadian Journal of Surgery. 2010;53(1):17-24. </w:t>
      </w:r>
      <w:hyperlink r:id="rId11">
        <w:r>
          <w:rPr>
            <w:color w:val="0563C1"/>
            <w:u w:val="single"/>
          </w:rPr>
          <w:t>https://pmc.ncbi.nlm.nih.gov/articles/PMC2810010/</w:t>
        </w:r>
      </w:hyperlink>
    </w:p>
    <w:p w14:paraId="71E9E8CA" w14:textId="77777777" w:rsidR="00D1640D" w:rsidRDefault="006C0436">
      <w:pPr>
        <w:ind w:left="288" w:hanging="288"/>
      </w:pPr>
      <w:r>
        <w:rPr>
          <w:sz w:val="17"/>
        </w:rPr>
        <w:t xml:space="preserve">5. Perrotti P, Antropoli C, Molino D, De Stefano G, Antropoli M. Conservative treatment of acute thrombosed external hemorrhoids with topical nifedipine. Diseases of the Colon &amp; Rectum. 2001;44(3):405-409. </w:t>
      </w:r>
      <w:hyperlink r:id="rId12">
        <w:r>
          <w:rPr>
            <w:color w:val="0563C1"/>
            <w:u w:val="single"/>
          </w:rPr>
          <w:t>https://pubmed.ncbi.nlm.nih.gov/11289288/</w:t>
        </w:r>
      </w:hyperlink>
    </w:p>
    <w:p w14:paraId="35948366" w14:textId="77777777" w:rsidR="00D1640D" w:rsidRDefault="006C0436">
      <w:pPr>
        <w:ind w:left="288" w:hanging="288"/>
      </w:pPr>
      <w:r>
        <w:rPr>
          <w:sz w:val="17"/>
        </w:rPr>
        <w:t xml:space="preserve">6. Ezri T, Susmallian S. Topical nifedipine vs. topical glyceryl trinitrate for treatment of chronic anal fissure. Diseases of the Colon &amp; Rectum. 2003;46(6):805-808. </w:t>
      </w:r>
      <w:hyperlink r:id="rId13">
        <w:r>
          <w:rPr>
            <w:color w:val="0563C1"/>
            <w:u w:val="single"/>
          </w:rPr>
          <w:t>https://pubmed.ncbi.nlm.nih.gov/12794583/</w:t>
        </w:r>
      </w:hyperlink>
    </w:p>
    <w:p w14:paraId="1D81ADC2" w14:textId="77777777" w:rsidR="00D1640D" w:rsidRDefault="006C0436">
      <w:pPr>
        <w:ind w:left="288" w:hanging="288"/>
      </w:pPr>
      <w:r>
        <w:rPr>
          <w:sz w:val="17"/>
        </w:rPr>
        <w:t xml:space="preserve">7. Sajid MS, Whitehouse PA, Sains P, Baig MK. Systematic review of the use of topical diltiazem compared with glyceryl trinitrate for chronic anal fissure. Colorectal Disease. 2013;15(1):19-26. </w:t>
      </w:r>
      <w:hyperlink r:id="rId14">
        <w:r>
          <w:rPr>
            <w:color w:val="0563C1"/>
            <w:u w:val="single"/>
          </w:rPr>
          <w:t>https://pubmed.ncbi.nlm.nih.gov/22233236/</w:t>
        </w:r>
      </w:hyperlink>
    </w:p>
    <w:p w14:paraId="12F3ACD1" w14:textId="77777777" w:rsidR="00D1640D" w:rsidRDefault="006C0436">
      <w:pPr>
        <w:ind w:left="288" w:hanging="288"/>
      </w:pPr>
      <w:r>
        <w:rPr>
          <w:sz w:val="17"/>
        </w:rPr>
        <w:t xml:space="preserve">8. Altomare DF, Binda GA, Canuti S, et al. The management of patients with primary chronic anal fissure: a position paper. Techniques in Coloproctology. 2011;15(2):135-141. </w:t>
      </w:r>
      <w:hyperlink r:id="rId15">
        <w:r>
          <w:rPr>
            <w:color w:val="0563C1"/>
            <w:u w:val="single"/>
          </w:rPr>
          <w:t>https://pmc.ncbi.nlm.nih.gov/articles/PMC3099002/</w:t>
        </w:r>
      </w:hyperlink>
    </w:p>
    <w:p w14:paraId="29399064" w14:textId="77777777" w:rsidR="00D1640D" w:rsidRDefault="006C0436">
      <w:pPr>
        <w:ind w:left="288" w:hanging="288"/>
      </w:pPr>
      <w:r>
        <w:rPr>
          <w:sz w:val="17"/>
        </w:rPr>
        <w:lastRenderedPageBreak/>
        <w:t xml:space="preserve">9. Katsinelos P, et al. Aggressive treatment of acute anal fissure with 0.5% nifedipine ointment prevents its evolution to chronicity. World Journal of Gastroenterology. 2006;12(38):6203-6206. </w:t>
      </w:r>
      <w:hyperlink r:id="rId16">
        <w:r>
          <w:rPr>
            <w:color w:val="0563C1"/>
            <w:u w:val="single"/>
          </w:rPr>
          <w:t>https://pmc.ncbi.nlm.nih.gov/articles/PMC4088118/</w:t>
        </w:r>
      </w:hyperlink>
    </w:p>
    <w:p w14:paraId="2065043A" w14:textId="77777777" w:rsidR="00D1640D" w:rsidRDefault="006C0436">
      <w:pPr>
        <w:ind w:left="288" w:hanging="288"/>
      </w:pPr>
      <w:r>
        <w:rPr>
          <w:sz w:val="17"/>
        </w:rPr>
        <w:t xml:space="preserve">10. Schlichtemeier S, Engel A. Anal fissure. Australian Prescriber. 2016;39(1):14-17. </w:t>
      </w:r>
      <w:hyperlink r:id="rId17">
        <w:r>
          <w:rPr>
            <w:color w:val="0563C1"/>
            <w:u w:val="single"/>
          </w:rPr>
          <w:t>https://australianprescriber.tg.org.au/articles/anal-fissure.html</w:t>
        </w:r>
      </w:hyperlink>
    </w:p>
    <w:tbl>
      <w:tblPr>
        <w:tblW w:w="0" w:type="auto"/>
        <w:jc w:val="center"/>
        <w:tblBorders>
          <w:top w:val="single" w:sz="4" w:space="0" w:color="D9E2E8"/>
          <w:left w:val="single" w:sz="4" w:space="0" w:color="D9E2E8"/>
          <w:bottom w:val="single" w:sz="4" w:space="0" w:color="D9E2E8"/>
          <w:right w:val="single" w:sz="4" w:space="0" w:color="D9E2E8"/>
          <w:insideH w:val="single" w:sz="4" w:space="0" w:color="D9E2E8"/>
          <w:insideV w:val="single" w:sz="4" w:space="0" w:color="D9E2E8"/>
        </w:tblBorders>
        <w:tblLook w:val="04A0" w:firstRow="1" w:lastRow="0" w:firstColumn="1" w:lastColumn="0" w:noHBand="0" w:noVBand="1"/>
      </w:tblPr>
      <w:tblGrid>
        <w:gridCol w:w="10214"/>
      </w:tblGrid>
      <w:tr w:rsidR="00D1640D" w14:paraId="20E8E32B" w14:textId="77777777">
        <w:trPr>
          <w:jc w:val="center"/>
        </w:trPr>
        <w:tc>
          <w:tcPr>
            <w:tcW w:w="10224" w:type="dxa"/>
            <w:shd w:val="clear" w:color="auto" w:fill="F2F2F2"/>
          </w:tcPr>
          <w:p w14:paraId="5E5FEBE0" w14:textId="77777777" w:rsidR="00D1640D" w:rsidRDefault="006C0436">
            <w:r>
              <w:rPr>
                <w:b/>
                <w:color w:val="1A4D3A"/>
              </w:rPr>
              <w:t>Disclaimer</w:t>
            </w:r>
          </w:p>
        </w:tc>
      </w:tr>
      <w:tr w:rsidR="00D1640D" w14:paraId="6D86AAA5" w14:textId="77777777">
        <w:trPr>
          <w:jc w:val="center"/>
        </w:trPr>
        <w:tc>
          <w:tcPr>
            <w:tcW w:w="10224" w:type="dxa"/>
            <w:shd w:val="clear" w:color="auto" w:fill="F2F2F2"/>
          </w:tcPr>
          <w:p w14:paraId="215FA697" w14:textId="77777777" w:rsidR="00D1640D" w:rsidRDefault="006C0436">
            <w:r>
              <w:rPr>
                <w:sz w:val="18"/>
              </w:rPr>
              <w:t>This document is general prescriber information only. It is not patient-specific advice and does not replace clinical judgement, diagnosis, treatment planning, informed consent, surgical review, or local prescribing requirements.</w:t>
            </w:r>
          </w:p>
        </w:tc>
      </w:tr>
    </w:tbl>
    <w:p w14:paraId="624D7A32" w14:textId="77777777" w:rsidR="006C0436" w:rsidRDefault="006C0436"/>
    <w:sectPr w:rsidR="00000000" w:rsidSect="00034616">
      <w:headerReference w:type="default" r:id="rId18"/>
      <w:footerReference w:type="default" r:id="rId19"/>
      <w:pgSz w:w="12240" w:h="15840"/>
      <w:pgMar w:top="936" w:right="1008" w:bottom="93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BB690" w14:textId="77777777" w:rsidR="006C0436" w:rsidRDefault="006C0436">
      <w:pPr>
        <w:spacing w:after="0" w:line="240" w:lineRule="auto"/>
      </w:pPr>
      <w:r>
        <w:separator/>
      </w:r>
    </w:p>
  </w:endnote>
  <w:endnote w:type="continuationSeparator" w:id="0">
    <w:p w14:paraId="0BE17053" w14:textId="77777777" w:rsidR="006C0436" w:rsidRDefault="006C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F7E06" w14:textId="77777777" w:rsidR="00D1640D" w:rsidRDefault="006C0436">
    <w:pPr>
      <w:pStyle w:val="Footer"/>
      <w:jc w:val="center"/>
    </w:pPr>
    <w:r>
      <w:rPr>
        <w:color w:val="606060"/>
        <w:sz w:val="16"/>
      </w:rPr>
      <w:t xml:space="preserve">For </w:t>
    </w:r>
    <w:r>
      <w:rPr>
        <w:color w:val="606060"/>
        <w:sz w:val="16"/>
      </w:rPr>
      <w:t>prescriber use only. This document is informational and does not replace individual clinical judgement.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975A3" w14:textId="77777777" w:rsidR="006C0436" w:rsidRDefault="006C0436">
      <w:pPr>
        <w:spacing w:after="0" w:line="240" w:lineRule="auto"/>
      </w:pPr>
      <w:r>
        <w:separator/>
      </w:r>
    </w:p>
  </w:footnote>
  <w:footnote w:type="continuationSeparator" w:id="0">
    <w:p w14:paraId="749FFC83" w14:textId="77777777" w:rsidR="006C0436" w:rsidRDefault="006C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9484C" w14:textId="77777777" w:rsidR="00D1640D" w:rsidRDefault="006C0436">
    <w:pPr>
      <w:pStyle w:val="Header"/>
      <w:jc w:val="right"/>
    </w:pPr>
    <w:r>
      <w:rPr>
        <w:color w:val="606060"/>
        <w:sz w:val="16"/>
      </w:rPr>
      <w:t>Healthcare Professional Information | Heywood Compounding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6704161">
    <w:abstractNumId w:val="8"/>
  </w:num>
  <w:num w:numId="2" w16cid:durableId="1394043053">
    <w:abstractNumId w:val="6"/>
  </w:num>
  <w:num w:numId="3" w16cid:durableId="1337612788">
    <w:abstractNumId w:val="5"/>
  </w:num>
  <w:num w:numId="4" w16cid:durableId="534275145">
    <w:abstractNumId w:val="4"/>
  </w:num>
  <w:num w:numId="5" w16cid:durableId="1853566127">
    <w:abstractNumId w:val="7"/>
  </w:num>
  <w:num w:numId="6" w16cid:durableId="60105092">
    <w:abstractNumId w:val="3"/>
  </w:num>
  <w:num w:numId="7" w16cid:durableId="426652586">
    <w:abstractNumId w:val="2"/>
  </w:num>
  <w:num w:numId="8" w16cid:durableId="1312053215">
    <w:abstractNumId w:val="1"/>
  </w:num>
  <w:num w:numId="9" w16cid:durableId="121458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C0436"/>
    <w:rsid w:val="00744DBA"/>
    <w:rsid w:val="00AA1D8D"/>
    <w:rsid w:val="00B47730"/>
    <w:rsid w:val="00CB0664"/>
    <w:rsid w:val="00D164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B12DD"/>
  <w14:defaultImageDpi w14:val="300"/>
  <w15:docId w15:val="{F049C1A7-F09C-4EAC-B692-B0FFA3E4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00" w:line="259" w:lineRule="auto"/>
    </w:pPr>
    <w:rPr>
      <w:rFonts w:ascii="Aptos" w:eastAsia="Aptos" w:hAnsi="Aptos"/>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4D3A"/>
      <w:sz w:val="2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375946"/>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37594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b/>
      <w:color w:val="1A4D3A"/>
      <w:spacing w:val="5"/>
      <w:kern w:val="28"/>
      <w:sz w:val="3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racgp.org.au/ajgp/2024/january-february/anal-fissures" TargetMode="External"/><Relationship Id="rId13" Type="http://schemas.openxmlformats.org/officeDocument/2006/relationships/hyperlink" Target="https://pubmed.ncbi.nlm.nih.gov/127945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ubmed.ncbi.nlm.nih.gov/11289288/" TargetMode="External"/><Relationship Id="rId17" Type="http://schemas.openxmlformats.org/officeDocument/2006/relationships/hyperlink" Target="https://australianprescriber.tg.org.au/articles/anal-fissure.html" TargetMode="External"/><Relationship Id="rId2" Type="http://schemas.openxmlformats.org/officeDocument/2006/relationships/numbering" Target="numbering.xml"/><Relationship Id="rId16" Type="http://schemas.openxmlformats.org/officeDocument/2006/relationships/hyperlink" Target="https://pmc.ncbi.nlm.nih.gov/articles/PMC40881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mc.ncbi.nlm.nih.gov/articles/PMC2810010/" TargetMode="External"/><Relationship Id="rId5" Type="http://schemas.openxmlformats.org/officeDocument/2006/relationships/webSettings" Target="webSettings.xml"/><Relationship Id="rId15" Type="http://schemas.openxmlformats.org/officeDocument/2006/relationships/hyperlink" Target="https://pmc.ncbi.nlm.nih.gov/articles/PMC3099002/" TargetMode="External"/><Relationship Id="rId10" Type="http://schemas.openxmlformats.org/officeDocument/2006/relationships/hyperlink" Target="https://pubmed.ncbi.nlm.nih.gov/1262016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bmed.ncbi.nlm.nih.gov/12432293/" TargetMode="External"/><Relationship Id="rId14" Type="http://schemas.openxmlformats.org/officeDocument/2006/relationships/hyperlink" Target="https://pubmed.ncbi.nlm.nih.gov/22233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1200</Words>
  <Characters>6846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Nifedipine 0.5% + Lidocaine 1.5% Rectal Ointment - Prescriber Information</dc:title>
  <dc:subject/>
  <dc:creator>Heywood Compounding</dc:creator>
  <cp:keywords/>
  <dc:description>generated by python-docx</dc:description>
  <cp:lastModifiedBy>Jeremy Chan</cp:lastModifiedBy>
  <cp:revision>2</cp:revision>
  <dcterms:created xsi:type="dcterms:W3CDTF">2026-06-15T03:51:00Z</dcterms:created>
  <dcterms:modified xsi:type="dcterms:W3CDTF">2026-06-15T03:51:00Z</dcterms:modified>
  <cp:category/>
</cp:coreProperties>
</file>