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9275" w14:textId="77777777" w:rsidR="00C63DBF" w:rsidRDefault="004F1458">
      <w:pPr>
        <w:pStyle w:val="Title"/>
        <w:jc w:val="center"/>
      </w:pPr>
      <w:r>
        <w:t>Healthcare Professional Information</w:t>
      </w:r>
      <w:r>
        <w:br/>
        <w:t>Vitamin D3 Compounding</w:t>
      </w:r>
    </w:p>
    <w:p w14:paraId="344C690C" w14:textId="77777777" w:rsidR="00C63DBF" w:rsidRDefault="004F1458">
      <w:pPr>
        <w:jc w:val="center"/>
      </w:pPr>
      <w:r>
        <w:rPr>
          <w:b/>
          <w:color w:val="505050"/>
          <w:sz w:val="22"/>
        </w:rPr>
        <w:t>Prescriber information - healthcare professionals only</w:t>
      </w:r>
    </w:p>
    <w:tbl>
      <w:tblPr>
        <w:tblStyle w:val="TableGrid"/>
        <w:tblW w:w="0" w:type="auto"/>
        <w:jc w:val="center"/>
        <w:tblLook w:val="04A0" w:firstRow="1" w:lastRow="0" w:firstColumn="1" w:lastColumn="0" w:noHBand="0" w:noVBand="1"/>
      </w:tblPr>
      <w:tblGrid>
        <w:gridCol w:w="10070"/>
      </w:tblGrid>
      <w:tr w:rsidR="00C63DBF" w14:paraId="6B6062C7" w14:textId="77777777">
        <w:trPr>
          <w:jc w:val="center"/>
        </w:trPr>
        <w:tc>
          <w:tcPr>
            <w:tcW w:w="10080" w:type="dxa"/>
            <w:shd w:val="clear" w:color="auto" w:fill="FFF2CC"/>
          </w:tcPr>
          <w:p w14:paraId="7266C354" w14:textId="77777777" w:rsidR="00C63DBF" w:rsidRDefault="004F1458">
            <w:r>
              <w:rPr>
                <w:b/>
              </w:rPr>
              <w:t xml:space="preserve">Important clinical note: </w:t>
            </w:r>
            <w:r>
              <w:t>Vitamin D therapy should be considered only after appropriate clinical assessment, review of risk factors, serum 25-hydroxyvitamin D [25(OH)D] where clinically indicated, calcium status, renal function, relevant comorbidities and treatment goals. Compounded vitamin D3 should be prescribed where a commercially available product is unsuitable for the patient's required dose, formulation, swallowing ability, adherence needs or clinical monitoring plan.</w:t>
            </w:r>
          </w:p>
        </w:tc>
      </w:tr>
    </w:tbl>
    <w:p w14:paraId="6BBA5078" w14:textId="77777777" w:rsidR="00C63DBF" w:rsidRDefault="00C63DBF"/>
    <w:p w14:paraId="65AE0640" w14:textId="77777777" w:rsidR="00C63DBF" w:rsidRDefault="004F1458">
      <w:pPr>
        <w:pStyle w:val="Heading1"/>
      </w:pPr>
      <w:r>
        <w:t>Executive summary</w:t>
      </w:r>
    </w:p>
    <w:p w14:paraId="6032AC6D" w14:textId="77777777" w:rsidR="00C63DBF" w:rsidRDefault="004F1458">
      <w:pPr>
        <w:pStyle w:val="ListBullet"/>
      </w:pPr>
      <w:r>
        <w:t>Vitamin D deficiency is clinically relevant to bone mineralisation, calcium/phosphate homeostasis, muscle function, and falls/fracture risk in older or deficient patients.</w:t>
      </w:r>
    </w:p>
    <w:p w14:paraId="130DB003" w14:textId="77777777" w:rsidR="00C63DBF" w:rsidRDefault="004F1458">
      <w:pPr>
        <w:pStyle w:val="ListBullet"/>
      </w:pPr>
      <w:r>
        <w:t>In Australian practice, serum 25(OH)D is generally considered sufficient at &gt;=50 nmol/L, preferably maintained at this level at the end of winter. Some clinicians may target approximately 60-70 nmol/L in patients with persistent risk factors to reduce seasonal decline below 50 nmol/L.</w:t>
      </w:r>
    </w:p>
    <w:p w14:paraId="0F261179" w14:textId="77777777" w:rsidR="00C63DBF" w:rsidRDefault="004F1458">
      <w:pPr>
        <w:pStyle w:val="ListBullet"/>
      </w:pPr>
      <w:r>
        <w:t>Low vitamin D status has been associated in observational studies with non-skeletal conditions including cardiovascular disease, impaired glucose metabolism, insulin resistance, beta-cell dysfunction, autoimmune disease, and selected cancers. These associations do not prove causation, and vitamin D should not be positioned as a stand-alone chronic disease prevention treatment.</w:t>
      </w:r>
    </w:p>
    <w:p w14:paraId="42791324" w14:textId="77777777" w:rsidR="00C63DBF" w:rsidRDefault="004F1458">
      <w:pPr>
        <w:pStyle w:val="ListBullet"/>
      </w:pPr>
      <w:r>
        <w:t>Vitamin D3 compounding may assist prescribers when individualised dosing or formulation is required, including 3,000 IU, 5,000 IU, 50,000 IU, 100,000 IU, or other prescriber-specified strengths. Higher-dose vitamin D should be used as prescriber-directed therapy, not routine general supplementation.</w:t>
      </w:r>
    </w:p>
    <w:p w14:paraId="6A5CD787" w14:textId="77777777" w:rsidR="00C63DBF" w:rsidRDefault="004F1458">
      <w:pPr>
        <w:pStyle w:val="Heading1"/>
      </w:pPr>
      <w:r>
        <w:t>Clinical assessment before prescribing</w:t>
      </w:r>
    </w:p>
    <w:p w14:paraId="06C5435E" w14:textId="77777777" w:rsidR="00C63DBF" w:rsidRDefault="004F1458">
      <w:pPr>
        <w:pStyle w:val="ListBullet"/>
      </w:pPr>
      <w:r>
        <w:t>Risk factors: limited sun exposure, darker skin, covering clothing, institutional care, older age, obesity, malabsorption, liver disease, renal impairment, pregnancy, osteoporosis/osteopenia, falls risk, and medications affecting vitamin D metabolism.</w:t>
      </w:r>
    </w:p>
    <w:p w14:paraId="58B62126" w14:textId="77777777" w:rsidR="00C63DBF" w:rsidRDefault="004F1458">
      <w:pPr>
        <w:pStyle w:val="ListBullet"/>
      </w:pPr>
      <w:r>
        <w:t>Baseline review: serum 25(OH)D where clinically indicated, corrected calcium, phosphate, renal function, parathyroid hormone where appropriate, and relevant comorbidities.</w:t>
      </w:r>
    </w:p>
    <w:p w14:paraId="5E228AE4" w14:textId="77777777" w:rsidR="00C63DBF" w:rsidRDefault="004F1458">
      <w:pPr>
        <w:pStyle w:val="ListBullet"/>
      </w:pPr>
      <w:r>
        <w:t>Higher-dose therapy: consider closer monitoring in renal impairment, hypercalcaemia risk, granulomatous disease, malignancy-associated hypercalcaemia, primary hyperparathyroidism, or concurrent high calcium intake.</w:t>
      </w:r>
    </w:p>
    <w:p w14:paraId="6E372FBB" w14:textId="77777777" w:rsidR="00C63DBF" w:rsidRDefault="004F1458">
      <w:pPr>
        <w:pStyle w:val="Heading1"/>
      </w:pPr>
      <w:r>
        <w:t>Practical interpretation of serum 25(OH)D</w:t>
      </w:r>
    </w:p>
    <w:tbl>
      <w:tblPr>
        <w:tblStyle w:val="TableGrid"/>
        <w:tblW w:w="0" w:type="auto"/>
        <w:jc w:val="center"/>
        <w:tblLook w:val="04A0" w:firstRow="1" w:lastRow="0" w:firstColumn="1" w:lastColumn="0" w:noHBand="0" w:noVBand="1"/>
      </w:tblPr>
      <w:tblGrid>
        <w:gridCol w:w="1865"/>
        <w:gridCol w:w="2431"/>
        <w:gridCol w:w="5774"/>
      </w:tblGrid>
      <w:tr w:rsidR="00C63DBF" w14:paraId="0F15E2D9" w14:textId="77777777">
        <w:trPr>
          <w:jc w:val="center"/>
        </w:trPr>
        <w:tc>
          <w:tcPr>
            <w:tcW w:w="1944" w:type="dxa"/>
            <w:shd w:val="clear" w:color="auto" w:fill="D9EAD3"/>
          </w:tcPr>
          <w:p w14:paraId="562F1025" w14:textId="77777777" w:rsidR="00C63DBF" w:rsidRDefault="004F1458">
            <w:r>
              <w:rPr>
                <w:b/>
                <w:sz w:val="18"/>
              </w:rPr>
              <w:t>Serum 25(OH)D</w:t>
            </w:r>
          </w:p>
        </w:tc>
        <w:tc>
          <w:tcPr>
            <w:tcW w:w="2520" w:type="dxa"/>
            <w:shd w:val="clear" w:color="auto" w:fill="D9EAD3"/>
          </w:tcPr>
          <w:p w14:paraId="668B34FB" w14:textId="77777777" w:rsidR="00C63DBF" w:rsidRDefault="004F1458">
            <w:r>
              <w:rPr>
                <w:b/>
                <w:sz w:val="18"/>
              </w:rPr>
              <w:t>Interpretation</w:t>
            </w:r>
          </w:p>
        </w:tc>
        <w:tc>
          <w:tcPr>
            <w:tcW w:w="6120" w:type="dxa"/>
            <w:shd w:val="clear" w:color="auto" w:fill="D9EAD3"/>
          </w:tcPr>
          <w:p w14:paraId="057C5D59" w14:textId="77777777" w:rsidR="00C63DBF" w:rsidRDefault="004F1458">
            <w:r>
              <w:rPr>
                <w:b/>
                <w:sz w:val="18"/>
              </w:rPr>
              <w:t>Practical prescriber action</w:t>
            </w:r>
          </w:p>
        </w:tc>
      </w:tr>
      <w:tr w:rsidR="00C63DBF" w14:paraId="6CCABBA8" w14:textId="77777777">
        <w:trPr>
          <w:jc w:val="center"/>
        </w:trPr>
        <w:tc>
          <w:tcPr>
            <w:tcW w:w="1944" w:type="dxa"/>
          </w:tcPr>
          <w:p w14:paraId="55AC4532" w14:textId="77777777" w:rsidR="00C63DBF" w:rsidRDefault="004F1458">
            <w:r>
              <w:rPr>
                <w:sz w:val="18"/>
              </w:rPr>
              <w:t>&lt;12.5 nmol/L</w:t>
            </w:r>
          </w:p>
        </w:tc>
        <w:tc>
          <w:tcPr>
            <w:tcW w:w="2520" w:type="dxa"/>
          </w:tcPr>
          <w:p w14:paraId="4CE76901" w14:textId="77777777" w:rsidR="00C63DBF" w:rsidRDefault="004F1458">
            <w:r>
              <w:rPr>
                <w:sz w:val="18"/>
              </w:rPr>
              <w:t>Severe deficiency</w:t>
            </w:r>
          </w:p>
        </w:tc>
        <w:tc>
          <w:tcPr>
            <w:tcW w:w="6120" w:type="dxa"/>
          </w:tcPr>
          <w:p w14:paraId="64B41D09" w14:textId="77777777" w:rsidR="00C63DBF" w:rsidRDefault="004F1458">
            <w:r>
              <w:rPr>
                <w:sz w:val="18"/>
              </w:rPr>
              <w:t>Treat actively; assess calcium, renal function, malabsorption and adherence; consider high-dose prescriber-directed repletion.</w:t>
            </w:r>
          </w:p>
        </w:tc>
      </w:tr>
      <w:tr w:rsidR="00C63DBF" w14:paraId="0D421959" w14:textId="77777777">
        <w:trPr>
          <w:jc w:val="center"/>
        </w:trPr>
        <w:tc>
          <w:tcPr>
            <w:tcW w:w="1944" w:type="dxa"/>
          </w:tcPr>
          <w:p w14:paraId="388E109F" w14:textId="77777777" w:rsidR="00C63DBF" w:rsidRDefault="004F1458">
            <w:r>
              <w:rPr>
                <w:sz w:val="18"/>
              </w:rPr>
              <w:t>12.5-29 nmol/L</w:t>
            </w:r>
          </w:p>
        </w:tc>
        <w:tc>
          <w:tcPr>
            <w:tcW w:w="2520" w:type="dxa"/>
          </w:tcPr>
          <w:p w14:paraId="3D206F84" w14:textId="77777777" w:rsidR="00C63DBF" w:rsidRDefault="004F1458">
            <w:r>
              <w:rPr>
                <w:sz w:val="18"/>
              </w:rPr>
              <w:t>Moderate deficiency</w:t>
            </w:r>
          </w:p>
        </w:tc>
        <w:tc>
          <w:tcPr>
            <w:tcW w:w="6120" w:type="dxa"/>
          </w:tcPr>
          <w:p w14:paraId="2062E6EF" w14:textId="77777777" w:rsidR="00C63DBF" w:rsidRDefault="004F1458">
            <w:r>
              <w:rPr>
                <w:sz w:val="18"/>
              </w:rPr>
              <w:t>Repletion dosing is usually required; address risk factors and adherence.</w:t>
            </w:r>
          </w:p>
        </w:tc>
      </w:tr>
      <w:tr w:rsidR="00C63DBF" w14:paraId="1FD14F40" w14:textId="77777777">
        <w:trPr>
          <w:jc w:val="center"/>
        </w:trPr>
        <w:tc>
          <w:tcPr>
            <w:tcW w:w="1944" w:type="dxa"/>
          </w:tcPr>
          <w:p w14:paraId="3BD3197D" w14:textId="77777777" w:rsidR="00C63DBF" w:rsidRDefault="004F1458">
            <w:r>
              <w:rPr>
                <w:sz w:val="18"/>
              </w:rPr>
              <w:t>30-49 nmol/L</w:t>
            </w:r>
          </w:p>
        </w:tc>
        <w:tc>
          <w:tcPr>
            <w:tcW w:w="2520" w:type="dxa"/>
          </w:tcPr>
          <w:p w14:paraId="2C85A60E" w14:textId="77777777" w:rsidR="00C63DBF" w:rsidRDefault="004F1458">
            <w:r>
              <w:rPr>
                <w:sz w:val="18"/>
              </w:rPr>
              <w:t>Mild deficiency / insufficiency</w:t>
            </w:r>
          </w:p>
        </w:tc>
        <w:tc>
          <w:tcPr>
            <w:tcW w:w="6120" w:type="dxa"/>
          </w:tcPr>
          <w:p w14:paraId="1E40322B" w14:textId="77777777" w:rsidR="00C63DBF" w:rsidRDefault="004F1458">
            <w:r>
              <w:rPr>
                <w:sz w:val="18"/>
              </w:rPr>
              <w:t>Low-to-moderate dose supplementation; address sun exposure, dietary intake and ongoing risk factors.</w:t>
            </w:r>
          </w:p>
        </w:tc>
      </w:tr>
      <w:tr w:rsidR="00C63DBF" w14:paraId="25EA9FD9" w14:textId="77777777">
        <w:trPr>
          <w:jc w:val="center"/>
        </w:trPr>
        <w:tc>
          <w:tcPr>
            <w:tcW w:w="1944" w:type="dxa"/>
          </w:tcPr>
          <w:p w14:paraId="3BDA037F" w14:textId="77777777" w:rsidR="00C63DBF" w:rsidRDefault="004F1458">
            <w:r>
              <w:rPr>
                <w:sz w:val="18"/>
              </w:rPr>
              <w:lastRenderedPageBreak/>
              <w:t>&gt;=50 nmol/L</w:t>
            </w:r>
          </w:p>
        </w:tc>
        <w:tc>
          <w:tcPr>
            <w:tcW w:w="2520" w:type="dxa"/>
          </w:tcPr>
          <w:p w14:paraId="35C4F049" w14:textId="77777777" w:rsidR="00C63DBF" w:rsidRDefault="004F1458">
            <w:r>
              <w:rPr>
                <w:sz w:val="18"/>
              </w:rPr>
              <w:t>Sufficient</w:t>
            </w:r>
          </w:p>
        </w:tc>
        <w:tc>
          <w:tcPr>
            <w:tcW w:w="6120" w:type="dxa"/>
          </w:tcPr>
          <w:p w14:paraId="5F42EF7E" w14:textId="77777777" w:rsidR="00C63DBF" w:rsidRDefault="004F1458">
            <w:r>
              <w:rPr>
                <w:sz w:val="18"/>
              </w:rPr>
              <w:t>Maintenance dosing may be appropriate if ongoing risk factors persist.</w:t>
            </w:r>
          </w:p>
        </w:tc>
      </w:tr>
      <w:tr w:rsidR="00C63DBF" w14:paraId="42D566BE" w14:textId="77777777">
        <w:trPr>
          <w:jc w:val="center"/>
        </w:trPr>
        <w:tc>
          <w:tcPr>
            <w:tcW w:w="1944" w:type="dxa"/>
          </w:tcPr>
          <w:p w14:paraId="350310F7" w14:textId="77777777" w:rsidR="00C63DBF" w:rsidRDefault="004F1458">
            <w:r>
              <w:rPr>
                <w:sz w:val="18"/>
              </w:rPr>
              <w:t>&gt;200-250 nmol/L</w:t>
            </w:r>
          </w:p>
        </w:tc>
        <w:tc>
          <w:tcPr>
            <w:tcW w:w="2520" w:type="dxa"/>
          </w:tcPr>
          <w:p w14:paraId="51AE91FF" w14:textId="77777777" w:rsidR="00C63DBF" w:rsidRDefault="004F1458">
            <w:r>
              <w:rPr>
                <w:sz w:val="18"/>
              </w:rPr>
              <w:t>High / possible toxicity concern depending on calcium status</w:t>
            </w:r>
          </w:p>
        </w:tc>
        <w:tc>
          <w:tcPr>
            <w:tcW w:w="6120" w:type="dxa"/>
          </w:tcPr>
          <w:p w14:paraId="3123BB4E" w14:textId="77777777" w:rsidR="00C63DBF" w:rsidRDefault="004F1458">
            <w:r>
              <w:rPr>
                <w:sz w:val="18"/>
              </w:rPr>
              <w:t>Review dose, calcium, renal function and symptoms; consider cessation or dose reduction depending on clinical context.</w:t>
            </w:r>
          </w:p>
        </w:tc>
      </w:tr>
    </w:tbl>
    <w:p w14:paraId="0FD364D6" w14:textId="77777777" w:rsidR="00C63DBF" w:rsidRDefault="00C63DBF"/>
    <w:p w14:paraId="6931567A" w14:textId="77777777" w:rsidR="00BE1BB1" w:rsidRDefault="004F1458" w:rsidP="00BE1BB1">
      <w:r>
        <w:rPr>
          <w:b/>
        </w:rPr>
        <w:t xml:space="preserve">Practical target: </w:t>
      </w:r>
      <w:r>
        <w:t>Maintain 25(OH)D &gt;=50 nmol/L, ideally at the end of winter. In recurrent deficiency or persistent risk factors, a pragmatic maintenance target of approximately 60-70 nmol/L may help reduce the likelihood of winter decline below 50 nmol/L.</w:t>
      </w:r>
    </w:p>
    <w:p w14:paraId="29EE62AA" w14:textId="64A35644" w:rsidR="00C63DBF" w:rsidRDefault="004F1458" w:rsidP="00BE1BB1">
      <w:r w:rsidRPr="00BE1BB1">
        <w:rPr>
          <w:b/>
          <w:bCs/>
        </w:rPr>
        <w:t>Treatment framework by deficiency level - compounding pharmacy perspective</w:t>
      </w:r>
    </w:p>
    <w:p w14:paraId="394BE4AE" w14:textId="77777777" w:rsidR="00C63DBF" w:rsidRDefault="004F1458">
      <w:r>
        <w:rPr>
          <w:b/>
        </w:rPr>
        <w:t xml:space="preserve">Prescriber consideration only: </w:t>
      </w:r>
      <w:r>
        <w:t>Final dose, duration, monitoring and review remain the responsibility of the treating medical practitioner. The examples below are not intended to replace local guidelines or specialist advice.</w:t>
      </w:r>
    </w:p>
    <w:tbl>
      <w:tblPr>
        <w:tblStyle w:val="TableGrid"/>
        <w:tblW w:w="0" w:type="auto"/>
        <w:jc w:val="center"/>
        <w:tblLook w:val="04A0" w:firstRow="1" w:lastRow="0" w:firstColumn="1" w:lastColumn="0" w:noHBand="0" w:noVBand="1"/>
      </w:tblPr>
      <w:tblGrid>
        <w:gridCol w:w="2275"/>
        <w:gridCol w:w="2025"/>
        <w:gridCol w:w="5770"/>
      </w:tblGrid>
      <w:tr w:rsidR="00C63DBF" w14:paraId="36C5BAB3" w14:textId="77777777">
        <w:trPr>
          <w:jc w:val="center"/>
        </w:trPr>
        <w:tc>
          <w:tcPr>
            <w:tcW w:w="2376" w:type="dxa"/>
            <w:shd w:val="clear" w:color="auto" w:fill="D9EAD3"/>
          </w:tcPr>
          <w:p w14:paraId="2F90C7A5" w14:textId="77777777" w:rsidR="00C63DBF" w:rsidRDefault="004F1458">
            <w:r>
              <w:rPr>
                <w:b/>
                <w:sz w:val="18"/>
              </w:rPr>
              <w:t>Baseline / current 25(OH)D</w:t>
            </w:r>
          </w:p>
        </w:tc>
        <w:tc>
          <w:tcPr>
            <w:tcW w:w="2088" w:type="dxa"/>
            <w:shd w:val="clear" w:color="auto" w:fill="D9EAD3"/>
          </w:tcPr>
          <w:p w14:paraId="6047D603" w14:textId="77777777" w:rsidR="00C63DBF" w:rsidRDefault="004F1458">
            <w:r>
              <w:rPr>
                <w:b/>
                <w:sz w:val="18"/>
              </w:rPr>
              <w:t>Clinical category</w:t>
            </w:r>
          </w:p>
        </w:tc>
        <w:tc>
          <w:tcPr>
            <w:tcW w:w="6120" w:type="dxa"/>
            <w:shd w:val="clear" w:color="auto" w:fill="D9EAD3"/>
          </w:tcPr>
          <w:p w14:paraId="3EEA1F76" w14:textId="77777777" w:rsidR="00C63DBF" w:rsidRDefault="004F1458">
            <w:r>
              <w:rPr>
                <w:b/>
                <w:sz w:val="18"/>
              </w:rPr>
              <w:t>Suggested treatment approach for prescriber consideration</w:t>
            </w:r>
          </w:p>
        </w:tc>
      </w:tr>
      <w:tr w:rsidR="00C63DBF" w14:paraId="554677B4" w14:textId="77777777">
        <w:trPr>
          <w:jc w:val="center"/>
        </w:trPr>
        <w:tc>
          <w:tcPr>
            <w:tcW w:w="2376" w:type="dxa"/>
          </w:tcPr>
          <w:p w14:paraId="5A982DC8" w14:textId="77777777" w:rsidR="00C63DBF" w:rsidRDefault="004F1458">
            <w:r>
              <w:rPr>
                <w:sz w:val="18"/>
              </w:rPr>
              <w:t>Corrected level &gt;=50 nmol/L</w:t>
            </w:r>
          </w:p>
        </w:tc>
        <w:tc>
          <w:tcPr>
            <w:tcW w:w="2088" w:type="dxa"/>
          </w:tcPr>
          <w:p w14:paraId="1B2139CF" w14:textId="77777777" w:rsidR="00C63DBF" w:rsidRDefault="004F1458">
            <w:r>
              <w:rPr>
                <w:sz w:val="18"/>
              </w:rPr>
              <w:t>Maintenance phase</w:t>
            </w:r>
          </w:p>
        </w:tc>
        <w:tc>
          <w:tcPr>
            <w:tcW w:w="6120" w:type="dxa"/>
          </w:tcPr>
          <w:p w14:paraId="64B3801B" w14:textId="6C10A23C" w:rsidR="00C63DBF" w:rsidRDefault="004F1458">
            <w:r>
              <w:rPr>
                <w:sz w:val="18"/>
              </w:rPr>
              <w:t xml:space="preserve">Commonly 3,000-5,000 IU </w:t>
            </w:r>
            <w:r w:rsidRPr="004F1458">
              <w:rPr>
                <w:b/>
                <w:bCs/>
                <w:sz w:val="18"/>
              </w:rPr>
              <w:t>twice weekly</w:t>
            </w:r>
            <w:r>
              <w:rPr>
                <w:sz w:val="18"/>
              </w:rPr>
              <w:t xml:space="preserve">, or 1,000-2,000 IU </w:t>
            </w:r>
            <w:r w:rsidRPr="004F1458">
              <w:rPr>
                <w:b/>
                <w:bCs/>
                <w:sz w:val="18"/>
              </w:rPr>
              <w:t>daily</w:t>
            </w:r>
            <w:r>
              <w:rPr>
                <w:sz w:val="18"/>
              </w:rPr>
              <w:t xml:space="preserve">, where ongoing risk factors </w:t>
            </w:r>
            <w:r w:rsidR="007C2508">
              <w:rPr>
                <w:sz w:val="18"/>
              </w:rPr>
              <w:t>persist,</w:t>
            </w:r>
            <w:r>
              <w:rPr>
                <w:sz w:val="18"/>
              </w:rPr>
              <w:t xml:space="preserve"> and sun exposure/diet are inadequate.</w:t>
            </w:r>
          </w:p>
        </w:tc>
      </w:tr>
      <w:tr w:rsidR="00C63DBF" w14:paraId="66DDD526" w14:textId="77777777">
        <w:trPr>
          <w:jc w:val="center"/>
        </w:trPr>
        <w:tc>
          <w:tcPr>
            <w:tcW w:w="2376" w:type="dxa"/>
          </w:tcPr>
          <w:p w14:paraId="0B6B23D0" w14:textId="77777777" w:rsidR="00C63DBF" w:rsidRDefault="004F1458">
            <w:r>
              <w:rPr>
                <w:sz w:val="18"/>
              </w:rPr>
              <w:t>30-49 nmol/L</w:t>
            </w:r>
          </w:p>
        </w:tc>
        <w:tc>
          <w:tcPr>
            <w:tcW w:w="2088" w:type="dxa"/>
          </w:tcPr>
          <w:p w14:paraId="284999DD" w14:textId="77777777" w:rsidR="00C63DBF" w:rsidRDefault="004F1458">
            <w:r>
              <w:rPr>
                <w:sz w:val="18"/>
              </w:rPr>
              <w:t>Mild deficiency</w:t>
            </w:r>
          </w:p>
        </w:tc>
        <w:tc>
          <w:tcPr>
            <w:tcW w:w="6120" w:type="dxa"/>
          </w:tcPr>
          <w:p w14:paraId="2AA068B6" w14:textId="77777777" w:rsidR="00C63DBF" w:rsidRDefault="004F1458">
            <w:r>
              <w:rPr>
                <w:sz w:val="18"/>
              </w:rPr>
              <w:t xml:space="preserve">Commonly 5,000 IU </w:t>
            </w:r>
            <w:r w:rsidRPr="004F1458">
              <w:rPr>
                <w:b/>
                <w:bCs/>
                <w:sz w:val="18"/>
              </w:rPr>
              <w:t>twice weekly</w:t>
            </w:r>
            <w:r>
              <w:rPr>
                <w:sz w:val="18"/>
              </w:rPr>
              <w:t>, then review risk factors and ongoing maintenance need.</w:t>
            </w:r>
          </w:p>
        </w:tc>
      </w:tr>
      <w:tr w:rsidR="00C63DBF" w14:paraId="553F1719" w14:textId="77777777">
        <w:trPr>
          <w:jc w:val="center"/>
        </w:trPr>
        <w:tc>
          <w:tcPr>
            <w:tcW w:w="2376" w:type="dxa"/>
          </w:tcPr>
          <w:p w14:paraId="6746F422" w14:textId="77777777" w:rsidR="00C63DBF" w:rsidRDefault="004F1458">
            <w:r>
              <w:rPr>
                <w:sz w:val="18"/>
              </w:rPr>
              <w:t>15-29 nmol/L</w:t>
            </w:r>
          </w:p>
        </w:tc>
        <w:tc>
          <w:tcPr>
            <w:tcW w:w="2088" w:type="dxa"/>
          </w:tcPr>
          <w:p w14:paraId="2810BAAF" w14:textId="77777777" w:rsidR="00C63DBF" w:rsidRDefault="004F1458">
            <w:r>
              <w:rPr>
                <w:sz w:val="18"/>
              </w:rPr>
              <w:t>Moderate deficiency</w:t>
            </w:r>
          </w:p>
        </w:tc>
        <w:tc>
          <w:tcPr>
            <w:tcW w:w="6120" w:type="dxa"/>
          </w:tcPr>
          <w:p w14:paraId="24D6887E" w14:textId="77777777" w:rsidR="00C63DBF" w:rsidRDefault="004F1458">
            <w:r>
              <w:rPr>
                <w:sz w:val="18"/>
              </w:rPr>
              <w:t xml:space="preserve">Commonly 3,000-5,000 IU </w:t>
            </w:r>
            <w:r w:rsidRPr="004F1458">
              <w:rPr>
                <w:b/>
                <w:bCs/>
                <w:sz w:val="18"/>
              </w:rPr>
              <w:t>daily</w:t>
            </w:r>
            <w:r>
              <w:rPr>
                <w:sz w:val="18"/>
              </w:rPr>
              <w:t xml:space="preserve"> for 6-12 weeks, then reassess and step down to maintenance after correction.</w:t>
            </w:r>
          </w:p>
        </w:tc>
      </w:tr>
      <w:tr w:rsidR="00C63DBF" w14:paraId="476DCDFE" w14:textId="77777777">
        <w:trPr>
          <w:jc w:val="center"/>
        </w:trPr>
        <w:tc>
          <w:tcPr>
            <w:tcW w:w="2376" w:type="dxa"/>
          </w:tcPr>
          <w:p w14:paraId="7066054D" w14:textId="77777777" w:rsidR="00C63DBF" w:rsidRDefault="004F1458">
            <w:r>
              <w:rPr>
                <w:sz w:val="18"/>
              </w:rPr>
              <w:t>&lt;15 nmol/L</w:t>
            </w:r>
          </w:p>
        </w:tc>
        <w:tc>
          <w:tcPr>
            <w:tcW w:w="2088" w:type="dxa"/>
          </w:tcPr>
          <w:p w14:paraId="14E65868" w14:textId="77777777" w:rsidR="00C63DBF" w:rsidRDefault="004F1458">
            <w:r>
              <w:rPr>
                <w:sz w:val="18"/>
              </w:rPr>
              <w:t>Severe deficiency</w:t>
            </w:r>
          </w:p>
        </w:tc>
        <w:tc>
          <w:tcPr>
            <w:tcW w:w="6120" w:type="dxa"/>
          </w:tcPr>
          <w:p w14:paraId="63DA43F4" w14:textId="77777777" w:rsidR="00C63DBF" w:rsidRDefault="004F1458">
            <w:r>
              <w:rPr>
                <w:sz w:val="18"/>
              </w:rPr>
              <w:t xml:space="preserve">Prescriber-directed high-dose repletion may be considered, such as 50,000 IU </w:t>
            </w:r>
            <w:r w:rsidRPr="004F1458">
              <w:rPr>
                <w:b/>
                <w:bCs/>
                <w:sz w:val="18"/>
              </w:rPr>
              <w:t>weekly</w:t>
            </w:r>
            <w:r>
              <w:rPr>
                <w:sz w:val="18"/>
              </w:rPr>
              <w:t xml:space="preserve"> for 6-8 weeks. Use 100,000 IU only where specifically prescribed and clinically justified. Reassess calcium, renal function and 25(OH)D.</w:t>
            </w:r>
          </w:p>
        </w:tc>
      </w:tr>
    </w:tbl>
    <w:p w14:paraId="5A8467C2" w14:textId="77777777" w:rsidR="00C63DBF" w:rsidRDefault="00C63DBF"/>
    <w:p w14:paraId="248D5931" w14:textId="5F37D477" w:rsidR="00C63DBF" w:rsidRDefault="00AD0B03">
      <w:pPr>
        <w:pStyle w:val="Heading1"/>
      </w:pPr>
      <w:r>
        <w:t xml:space="preserve">Common Compounded Vitamin D options: </w:t>
      </w:r>
    </w:p>
    <w:p w14:paraId="6D823946" w14:textId="5A86AD21" w:rsidR="00C63DBF" w:rsidRDefault="004F1458">
      <w:pPr>
        <w:pStyle w:val="ListBullet"/>
      </w:pPr>
      <w:r>
        <w:t xml:space="preserve">Vitamin D3 capsules: 3,000 IU, 5,000 IU, 50,000 </w:t>
      </w:r>
      <w:r w:rsidR="00F80BF0">
        <w:t>IU or</w:t>
      </w:r>
      <w:r>
        <w:t xml:space="preserve"> prescriber-specified strength.</w:t>
      </w:r>
    </w:p>
    <w:p w14:paraId="37DC370E" w14:textId="77777777" w:rsidR="00C63DBF" w:rsidRDefault="004F1458">
      <w:pPr>
        <w:pStyle w:val="ListBullet"/>
      </w:pPr>
      <w:r>
        <w:t>Other dosage forms may be considered where clinically appropriate and technically suitable.</w:t>
      </w:r>
    </w:p>
    <w:p w14:paraId="1638F1F9" w14:textId="77777777" w:rsidR="00C63DBF" w:rsidRDefault="004F1458">
      <w:pPr>
        <w:pStyle w:val="ListBullet"/>
      </w:pPr>
      <w:r>
        <w:t>Suggested prescription details: Vitamin D3 strength, dosage form, directions, quantity, repeats, target 25(OH)D level if relevant, review timeframe and any monitoring instructions.</w:t>
      </w:r>
    </w:p>
    <w:p w14:paraId="21A7A7CA" w14:textId="77777777" w:rsidR="00C63DBF" w:rsidRDefault="004F1458">
      <w:pPr>
        <w:pStyle w:val="Heading1"/>
      </w:pPr>
      <w:r>
        <w:t>Safety and monitoring considerations</w:t>
      </w:r>
    </w:p>
    <w:p w14:paraId="37DCAB0D" w14:textId="77777777" w:rsidR="00C63DBF" w:rsidRDefault="004F1458">
      <w:pPr>
        <w:pStyle w:val="ListBullet"/>
      </w:pPr>
      <w:r>
        <w:t>Higher-dose vitamin D should be used cautiously in patients with renal impairment or hypercalcaemia risk.</w:t>
      </w:r>
    </w:p>
    <w:p w14:paraId="279AF42E" w14:textId="77777777" w:rsidR="00C63DBF" w:rsidRDefault="004F1458">
      <w:pPr>
        <w:pStyle w:val="ListBullet"/>
      </w:pPr>
      <w:r>
        <w:t>Consider serum calcium and renal function monitoring when using high-dose or prolonged therapy.</w:t>
      </w:r>
    </w:p>
    <w:p w14:paraId="7E96561C" w14:textId="77777777" w:rsidR="00C63DBF" w:rsidRDefault="004F1458">
      <w:pPr>
        <w:pStyle w:val="ListBullet"/>
      </w:pPr>
      <w:r>
        <w:t>Review concurrent calcium supplementation, thiazide diuretics, digoxin, calcitriol/alfacalcidol, and other relevant medicines.</w:t>
      </w:r>
    </w:p>
    <w:p w14:paraId="6872625C" w14:textId="77777777" w:rsidR="00C63DBF" w:rsidRDefault="004F1458">
      <w:pPr>
        <w:pStyle w:val="ListBullet"/>
      </w:pPr>
      <w:r>
        <w:t>Vitamin D toxicity is primarily mediated through hypercalcaemia; symptoms may include nausea, vomiting, constipation, polyuria, polydipsia, confusion, weakness and renal impairment.</w:t>
      </w:r>
    </w:p>
    <w:p w14:paraId="07345CBC" w14:textId="77777777" w:rsidR="00C63DBF" w:rsidRDefault="004F1458">
      <w:pPr>
        <w:pStyle w:val="Heading1"/>
      </w:pPr>
      <w:r>
        <w:t>Recommended clinical positioning statement</w:t>
      </w:r>
    </w:p>
    <w:tbl>
      <w:tblPr>
        <w:tblStyle w:val="TableGrid"/>
        <w:tblW w:w="0" w:type="auto"/>
        <w:jc w:val="center"/>
        <w:tblLook w:val="04A0" w:firstRow="1" w:lastRow="0" w:firstColumn="1" w:lastColumn="0" w:noHBand="0" w:noVBand="1"/>
      </w:tblPr>
      <w:tblGrid>
        <w:gridCol w:w="10070"/>
      </w:tblGrid>
      <w:tr w:rsidR="00C63DBF" w14:paraId="7E95D78E" w14:textId="77777777">
        <w:trPr>
          <w:jc w:val="center"/>
        </w:trPr>
        <w:tc>
          <w:tcPr>
            <w:tcW w:w="10080" w:type="dxa"/>
            <w:shd w:val="clear" w:color="auto" w:fill="EAF2F8"/>
          </w:tcPr>
          <w:p w14:paraId="7ED64EB1" w14:textId="77777777" w:rsidR="00C63DBF" w:rsidRDefault="004F1458">
            <w:r>
              <w:rPr>
                <w:i/>
              </w:rPr>
              <w:t>Vitamin D3 compounding supports prescribers when individualised dose strength or formulation is clinically required. The goal is to correct deficiency and maintain adequate vitamin D status within a monitored treatment plan, particularly where commercial products are unsuitable.</w:t>
            </w:r>
          </w:p>
        </w:tc>
      </w:tr>
    </w:tbl>
    <w:p w14:paraId="557B5B25" w14:textId="77777777" w:rsidR="00C63DBF" w:rsidRDefault="00C63DBF"/>
    <w:p w14:paraId="78647E51" w14:textId="77777777" w:rsidR="00C63DBF" w:rsidRDefault="004F1458">
      <w:pPr>
        <w:pStyle w:val="Heading1"/>
      </w:pPr>
      <w:r>
        <w:lastRenderedPageBreak/>
        <w:t>References and useful clinical resources</w:t>
      </w:r>
    </w:p>
    <w:p w14:paraId="424EEE80" w14:textId="77777777" w:rsidR="00C63DBF" w:rsidRDefault="004F1458">
      <w:pPr>
        <w:pStyle w:val="ListNumber"/>
      </w:pPr>
      <w:r>
        <w:t>Healthy Bones Australia. Vitamin D and Bone Health. Available from: healthybonesaustralia.org.au/your-bone-health/vitamin-d-bone-health</w:t>
      </w:r>
    </w:p>
    <w:p w14:paraId="69206EC0" w14:textId="77777777" w:rsidR="00C63DBF" w:rsidRDefault="004F1458">
      <w:pPr>
        <w:pStyle w:val="ListNumber"/>
      </w:pPr>
      <w:r>
        <w:t>The Royal Australian College of General Practitioners. Vitamin D in Australia - Issues and Recommendations. RACGP.</w:t>
      </w:r>
    </w:p>
    <w:p w14:paraId="1C45BC2E" w14:textId="77777777" w:rsidR="00C63DBF" w:rsidRDefault="004F1458">
      <w:pPr>
        <w:pStyle w:val="ListNumber"/>
      </w:pPr>
      <w:r>
        <w:t>The Royal Australian College of General Practitioners. Vitamin D - A Review. RACGP.</w:t>
      </w:r>
    </w:p>
    <w:p w14:paraId="3A50F0ED" w14:textId="77777777" w:rsidR="00C63DBF" w:rsidRDefault="004F1458">
      <w:pPr>
        <w:pStyle w:val="ListNumber"/>
      </w:pPr>
      <w:r>
        <w:t>Royal Children's Hospital Melbourne. Clinical Practice Guideline: Vitamin D deficiency.</w:t>
      </w:r>
    </w:p>
    <w:p w14:paraId="4E378120" w14:textId="77777777" w:rsidR="00C63DBF" w:rsidRDefault="004F1458">
      <w:pPr>
        <w:pStyle w:val="ListNumber"/>
      </w:pPr>
      <w:r>
        <w:t>Demay MB, et al. Vitamin D for the Prevention of Disease: An Endocrine Society Clinical Practice Guideline. J Clin Endocrinol Metab. 2024.</w:t>
      </w:r>
    </w:p>
    <w:p w14:paraId="426177F9" w14:textId="77777777" w:rsidR="00C63DBF" w:rsidRDefault="004F1458">
      <w:pPr>
        <w:pStyle w:val="ListNumber"/>
      </w:pPr>
      <w:r>
        <w:t>NIH Office of Dietary Supplements. Vitamin D Fact Sheet for Health Professionals. Updated 2025.</w:t>
      </w:r>
    </w:p>
    <w:p w14:paraId="30447302" w14:textId="77777777" w:rsidR="00C63DBF" w:rsidRDefault="004F1458">
      <w:pPr>
        <w:pStyle w:val="ListNumber"/>
      </w:pPr>
      <w:r>
        <w:t>Holick MF. Vitamin D: importance in the prevention of cancers, type 1 diabetes, heart disease, and osteoporosis. Am J Clin Nutr. 2004;79:362-371.</w:t>
      </w:r>
    </w:p>
    <w:p w14:paraId="4CFCEE9D" w14:textId="77777777" w:rsidR="00C63DBF" w:rsidRDefault="004F1458">
      <w:pPr>
        <w:pStyle w:val="ListNumber"/>
      </w:pPr>
      <w:r>
        <w:t>Schwalfenberg G. Not enough vitamin D - health consequences for Canadians. Can Fam Physician. 2007;53:841-854.</w:t>
      </w:r>
    </w:p>
    <w:p w14:paraId="1E5AE38A" w14:textId="77777777" w:rsidR="00C63DBF" w:rsidRDefault="004F1458">
      <w:pPr>
        <w:pStyle w:val="Heading1"/>
      </w:pPr>
      <w:r>
        <w:t>Professional disclaimer</w:t>
      </w:r>
    </w:p>
    <w:p w14:paraId="1FD7EB31" w14:textId="77777777" w:rsidR="00C63DBF" w:rsidRDefault="004F1458">
      <w:r>
        <w:t>This information is intended for Australian healthcare professionals and prescribers. It is general professional information only and does not replace individual clinical judgement, local prescribing guidelines, product information, specialist advice, or patient-specific monitoring. Compounded medicines should be prescribed only where clinically appropriate and where a suitable commercial product is not appropriate for the patient.</w:t>
      </w:r>
    </w:p>
    <w:sectPr w:rsidR="00C63DBF" w:rsidSect="00034616">
      <w:headerReference w:type="default" r:id="rId8"/>
      <w:footerReference w:type="default" r:id="rId9"/>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C15C9" w14:textId="77777777" w:rsidR="004F1458" w:rsidRDefault="004F1458">
      <w:pPr>
        <w:spacing w:after="0" w:line="240" w:lineRule="auto"/>
      </w:pPr>
      <w:r>
        <w:separator/>
      </w:r>
    </w:p>
  </w:endnote>
  <w:endnote w:type="continuationSeparator" w:id="0">
    <w:p w14:paraId="5FC83C65" w14:textId="77777777" w:rsidR="004F1458" w:rsidRDefault="004F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6717" w14:textId="77777777" w:rsidR="00C63DBF" w:rsidRDefault="004F1458">
    <w:pPr>
      <w:pStyle w:val="Footer"/>
      <w:jc w:val="center"/>
    </w:pPr>
    <w:r>
      <w:rPr>
        <w:color w:val="646464"/>
        <w:sz w:val="16"/>
      </w:rPr>
      <w:t>Prescriber information - healthcare professionals only | Prepared for website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603E" w14:textId="77777777" w:rsidR="004F1458" w:rsidRDefault="004F1458">
      <w:pPr>
        <w:spacing w:after="0" w:line="240" w:lineRule="auto"/>
      </w:pPr>
      <w:r>
        <w:separator/>
      </w:r>
    </w:p>
  </w:footnote>
  <w:footnote w:type="continuationSeparator" w:id="0">
    <w:p w14:paraId="65038D91" w14:textId="77777777" w:rsidR="004F1458" w:rsidRDefault="004F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57058" w14:textId="77777777" w:rsidR="00C63DBF" w:rsidRDefault="004F1458">
    <w:pPr>
      <w:pStyle w:val="Header"/>
      <w:jc w:val="right"/>
    </w:pPr>
    <w:r>
      <w:rPr>
        <w:color w:val="646464"/>
        <w:sz w:val="16"/>
      </w:rPr>
      <w:t>Healthcare Professional Information - Vitamin D3 Compounding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0387715">
    <w:abstractNumId w:val="8"/>
  </w:num>
  <w:num w:numId="2" w16cid:durableId="515581613">
    <w:abstractNumId w:val="6"/>
  </w:num>
  <w:num w:numId="3" w16cid:durableId="1648701624">
    <w:abstractNumId w:val="5"/>
  </w:num>
  <w:num w:numId="4" w16cid:durableId="1854145809">
    <w:abstractNumId w:val="4"/>
  </w:num>
  <w:num w:numId="5" w16cid:durableId="1660302198">
    <w:abstractNumId w:val="7"/>
  </w:num>
  <w:num w:numId="6" w16cid:durableId="368998136">
    <w:abstractNumId w:val="3"/>
  </w:num>
  <w:num w:numId="7" w16cid:durableId="1146094765">
    <w:abstractNumId w:val="2"/>
  </w:num>
  <w:num w:numId="8" w16cid:durableId="767694973">
    <w:abstractNumId w:val="1"/>
  </w:num>
  <w:num w:numId="9" w16cid:durableId="144345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F0"/>
    <w:rsid w:val="00034616"/>
    <w:rsid w:val="0006063C"/>
    <w:rsid w:val="0015074B"/>
    <w:rsid w:val="0029639D"/>
    <w:rsid w:val="00326F90"/>
    <w:rsid w:val="0037217C"/>
    <w:rsid w:val="004F1458"/>
    <w:rsid w:val="007C2508"/>
    <w:rsid w:val="00914D21"/>
    <w:rsid w:val="009801BC"/>
    <w:rsid w:val="00AA1D8D"/>
    <w:rsid w:val="00AD0B03"/>
    <w:rsid w:val="00B47730"/>
    <w:rsid w:val="00BE1BB1"/>
    <w:rsid w:val="00C63DBF"/>
    <w:rsid w:val="00CB0664"/>
    <w:rsid w:val="00D13B99"/>
    <w:rsid w:val="00E84A0B"/>
    <w:rsid w:val="00F80B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CA92F"/>
  <w14:defaultImageDpi w14:val="300"/>
  <w15:docId w15:val="{F22D65D6-27C9-4CC7-A3A1-DF9DE115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8761D"/>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Professional Information - Vitamin D3 Compounding</dc:title>
  <dc:subject>Prescriber information for Vitamin D3 compounding</dc:subject>
  <dc:creator>Heywood Compounding</dc:creator>
  <cp:keywords>vitamin D3, compounding, prescriber information, 25(OH)D, healthcare professionals</cp:keywords>
  <dc:description>generated by python-docx</dc:description>
  <cp:lastModifiedBy>Jeremy Chan</cp:lastModifiedBy>
  <cp:revision>10</cp:revision>
  <dcterms:created xsi:type="dcterms:W3CDTF">2026-06-13T06:12:00Z</dcterms:created>
  <dcterms:modified xsi:type="dcterms:W3CDTF">2026-06-13T06:25:00Z</dcterms:modified>
  <cp:category/>
</cp:coreProperties>
</file>