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8178B" w14:textId="77777777" w:rsidR="002766E2" w:rsidRDefault="00000000">
      <w:pPr>
        <w:jc w:val="center"/>
      </w:pPr>
      <w:r>
        <w:rPr>
          <w:b/>
          <w:color w:val="1F4E79"/>
          <w:sz w:val="40"/>
        </w:rPr>
        <w:t>Melatonin Compounding Options</w:t>
      </w:r>
    </w:p>
    <w:p w14:paraId="24DBF52E" w14:textId="77777777" w:rsidR="002766E2" w:rsidRDefault="00000000">
      <w:pPr>
        <w:jc w:val="center"/>
      </w:pPr>
      <w:r>
        <w:rPr>
          <w:b/>
          <w:color w:val="595959"/>
          <w:sz w:val="24"/>
        </w:rPr>
        <w:t>Prescriber information - healthcare professionals only</w:t>
      </w:r>
    </w:p>
    <w:p w14:paraId="2559BCB4" w14:textId="77777777" w:rsidR="002766E2" w:rsidRDefault="00000000">
      <w:pPr>
        <w:pStyle w:val="SmallNote"/>
        <w:jc w:val="center"/>
      </w:pPr>
      <w:r>
        <w:t>Suggested use: upload as a restricted clinician-only webpage or downloadable prescriber information sheet.</w:t>
      </w:r>
    </w:p>
    <w:tbl>
      <w:tblPr>
        <w:tblStyle w:val="TableGrid"/>
        <w:tblW w:w="0" w:type="auto"/>
        <w:tblLook w:val="04A0" w:firstRow="1" w:lastRow="0" w:firstColumn="1" w:lastColumn="0" w:noHBand="0" w:noVBand="1"/>
      </w:tblPr>
      <w:tblGrid>
        <w:gridCol w:w="10224"/>
      </w:tblGrid>
      <w:tr w:rsidR="002766E2" w14:paraId="387653BD" w14:textId="77777777">
        <w:tc>
          <w:tcPr>
            <w:tcW w:w="10224" w:type="dxa"/>
            <w:shd w:val="clear" w:color="auto" w:fill="EAF2F8"/>
          </w:tcPr>
          <w:p w14:paraId="7EA91ACE" w14:textId="77777777" w:rsidR="002766E2" w:rsidRDefault="00000000">
            <w:pPr>
              <w:spacing w:after="0"/>
            </w:pPr>
            <w:r>
              <w:rPr>
                <w:sz w:val="18"/>
              </w:rPr>
              <w:t>Important: Melatonin should be considered only after appropriate clinical assessment, review of sleep hygiene/behavioural strategies, medication review and discussion of treatment goals. Compounded products should be prescribed where a commercially available product is unsuitable for the patient or requested strength/formulation.</w:t>
            </w:r>
          </w:p>
        </w:tc>
      </w:tr>
    </w:tbl>
    <w:p w14:paraId="2E7739BA" w14:textId="77777777" w:rsidR="002766E2" w:rsidRDefault="00000000">
      <w:pPr>
        <w:pStyle w:val="Heading1"/>
      </w:pPr>
      <w:r>
        <w:t>Clinical context</w:t>
      </w:r>
    </w:p>
    <w:p w14:paraId="2EEE53A9" w14:textId="77777777" w:rsidR="002766E2" w:rsidRDefault="00000000">
      <w:r>
        <w:t xml:space="preserve">Melatonin is an endogenous hormone involved in circadian rhythm regulation. In clinical practice it is </w:t>
      </w:r>
      <w:proofErr w:type="gramStart"/>
      <w:r>
        <w:t>most commonly considered</w:t>
      </w:r>
      <w:proofErr w:type="gramEnd"/>
      <w:r>
        <w:t xml:space="preserve"> for sleep-onset insomnia and circadian rhythm sleep-wake disorders, especially delayed sleep-wake phase disorder. In children, use should be medically supervised, particularly where neurodevelopmental disorders, complex comorbidities, concurrent sedatives or long-term treatment are involved.</w:t>
      </w:r>
    </w:p>
    <w:p w14:paraId="080C51FD" w14:textId="77777777" w:rsidR="002766E2" w:rsidRDefault="00000000">
      <w:pPr>
        <w:pStyle w:val="Heading1"/>
      </w:pPr>
      <w:r>
        <w:t>Common prescriber considerations</w:t>
      </w:r>
    </w:p>
    <w:tbl>
      <w:tblPr>
        <w:tblStyle w:val="TableGrid"/>
        <w:tblW w:w="0" w:type="auto"/>
        <w:jc w:val="center"/>
        <w:tblLook w:val="04A0" w:firstRow="1" w:lastRow="0" w:firstColumn="1" w:lastColumn="0" w:noHBand="0" w:noVBand="1"/>
      </w:tblPr>
      <w:tblGrid>
        <w:gridCol w:w="2304"/>
        <w:gridCol w:w="4032"/>
        <w:gridCol w:w="3744"/>
      </w:tblGrid>
      <w:tr w:rsidR="002766E2" w14:paraId="26EFFA9D" w14:textId="77777777">
        <w:trPr>
          <w:jc w:val="center"/>
        </w:trPr>
        <w:tc>
          <w:tcPr>
            <w:tcW w:w="2304" w:type="dxa"/>
            <w:shd w:val="clear" w:color="auto" w:fill="1F4E79"/>
          </w:tcPr>
          <w:p w14:paraId="5BB21759" w14:textId="77777777" w:rsidR="002766E2" w:rsidRDefault="00000000">
            <w:pPr>
              <w:spacing w:after="0"/>
            </w:pPr>
            <w:r>
              <w:rPr>
                <w:b/>
                <w:color w:val="FFFFFF"/>
                <w:sz w:val="17"/>
              </w:rPr>
              <w:t>Clinical situation</w:t>
            </w:r>
          </w:p>
        </w:tc>
        <w:tc>
          <w:tcPr>
            <w:tcW w:w="4032" w:type="dxa"/>
            <w:shd w:val="clear" w:color="auto" w:fill="1F4E79"/>
          </w:tcPr>
          <w:p w14:paraId="5A369343" w14:textId="77777777" w:rsidR="002766E2" w:rsidRDefault="00000000">
            <w:pPr>
              <w:spacing w:after="0"/>
            </w:pPr>
            <w:r>
              <w:rPr>
                <w:b/>
                <w:color w:val="FFFFFF"/>
                <w:sz w:val="17"/>
              </w:rPr>
              <w:t>Why melatonin may be considered</w:t>
            </w:r>
          </w:p>
        </w:tc>
        <w:tc>
          <w:tcPr>
            <w:tcW w:w="3744" w:type="dxa"/>
            <w:shd w:val="clear" w:color="auto" w:fill="1F4E79"/>
          </w:tcPr>
          <w:p w14:paraId="7ABC5AB0" w14:textId="77777777" w:rsidR="002766E2" w:rsidRDefault="00000000">
            <w:pPr>
              <w:spacing w:after="0"/>
            </w:pPr>
            <w:r>
              <w:rPr>
                <w:b/>
                <w:color w:val="FFFFFF"/>
                <w:sz w:val="17"/>
              </w:rPr>
              <w:t>Prescriber notes</w:t>
            </w:r>
          </w:p>
        </w:tc>
      </w:tr>
      <w:tr w:rsidR="002766E2" w14:paraId="1A23C06E" w14:textId="77777777">
        <w:trPr>
          <w:jc w:val="center"/>
        </w:trPr>
        <w:tc>
          <w:tcPr>
            <w:tcW w:w="2304" w:type="dxa"/>
          </w:tcPr>
          <w:p w14:paraId="5F6E296E" w14:textId="77777777" w:rsidR="002766E2" w:rsidRDefault="00000000">
            <w:pPr>
              <w:spacing w:after="0"/>
            </w:pPr>
            <w:r>
              <w:rPr>
                <w:sz w:val="17"/>
              </w:rPr>
              <w:t>Sleep-onset insomnia</w:t>
            </w:r>
          </w:p>
        </w:tc>
        <w:tc>
          <w:tcPr>
            <w:tcW w:w="4032" w:type="dxa"/>
          </w:tcPr>
          <w:p w14:paraId="20385D58" w14:textId="77777777" w:rsidR="002766E2" w:rsidRDefault="00000000">
            <w:pPr>
              <w:spacing w:after="0"/>
            </w:pPr>
            <w:r>
              <w:rPr>
                <w:sz w:val="17"/>
              </w:rPr>
              <w:t>Difficulty initiating sleep despite an appropriate bedtime routine and sleep hygiene measures.</w:t>
            </w:r>
          </w:p>
        </w:tc>
        <w:tc>
          <w:tcPr>
            <w:tcW w:w="3744" w:type="dxa"/>
          </w:tcPr>
          <w:p w14:paraId="2D61C087" w14:textId="77777777" w:rsidR="002766E2" w:rsidRDefault="00000000">
            <w:pPr>
              <w:spacing w:after="0"/>
            </w:pPr>
            <w:r>
              <w:rPr>
                <w:sz w:val="17"/>
              </w:rPr>
              <w:t>Consider timing, formulation and review of contributing factors before dose escalation.</w:t>
            </w:r>
          </w:p>
        </w:tc>
      </w:tr>
      <w:tr w:rsidR="002766E2" w14:paraId="0DF65D8C" w14:textId="77777777">
        <w:trPr>
          <w:jc w:val="center"/>
        </w:trPr>
        <w:tc>
          <w:tcPr>
            <w:tcW w:w="2304" w:type="dxa"/>
          </w:tcPr>
          <w:p w14:paraId="6899F714" w14:textId="77777777" w:rsidR="002766E2" w:rsidRDefault="00000000">
            <w:pPr>
              <w:spacing w:after="0"/>
            </w:pPr>
            <w:r>
              <w:rPr>
                <w:sz w:val="17"/>
              </w:rPr>
              <w:t>Delayed sleep-wake phase disorder</w:t>
            </w:r>
          </w:p>
        </w:tc>
        <w:tc>
          <w:tcPr>
            <w:tcW w:w="4032" w:type="dxa"/>
          </w:tcPr>
          <w:p w14:paraId="75A8A02A" w14:textId="77777777" w:rsidR="002766E2" w:rsidRDefault="00000000">
            <w:pPr>
              <w:spacing w:after="0"/>
            </w:pPr>
            <w:r>
              <w:rPr>
                <w:sz w:val="17"/>
              </w:rPr>
              <w:t>Patient naturally falls asleep and wakes substantially later than desired; common in adolescents.</w:t>
            </w:r>
          </w:p>
        </w:tc>
        <w:tc>
          <w:tcPr>
            <w:tcW w:w="3744" w:type="dxa"/>
          </w:tcPr>
          <w:p w14:paraId="61156CA8" w14:textId="77777777" w:rsidR="002766E2" w:rsidRDefault="00000000">
            <w:pPr>
              <w:spacing w:after="0"/>
            </w:pPr>
            <w:r>
              <w:rPr>
                <w:sz w:val="17"/>
              </w:rPr>
              <w:t>Usually requires circadian timing strategy; evening melatonin may be paired with morning light exposure where appropriate.</w:t>
            </w:r>
          </w:p>
        </w:tc>
      </w:tr>
      <w:tr w:rsidR="002766E2" w14:paraId="06541F1F" w14:textId="77777777">
        <w:trPr>
          <w:jc w:val="center"/>
        </w:trPr>
        <w:tc>
          <w:tcPr>
            <w:tcW w:w="2304" w:type="dxa"/>
          </w:tcPr>
          <w:p w14:paraId="3F6F88A5" w14:textId="77777777" w:rsidR="002766E2" w:rsidRDefault="00000000">
            <w:pPr>
              <w:spacing w:after="0"/>
            </w:pPr>
            <w:r>
              <w:rPr>
                <w:sz w:val="17"/>
              </w:rPr>
              <w:t>ASD or Smith-Magenis syndrome with insomnia</w:t>
            </w:r>
          </w:p>
        </w:tc>
        <w:tc>
          <w:tcPr>
            <w:tcW w:w="4032" w:type="dxa"/>
          </w:tcPr>
          <w:p w14:paraId="34D9F20A" w14:textId="77777777" w:rsidR="002766E2" w:rsidRDefault="00000000">
            <w:pPr>
              <w:spacing w:after="0"/>
            </w:pPr>
            <w:r>
              <w:rPr>
                <w:sz w:val="17"/>
              </w:rPr>
              <w:t>Prolonged-release melatonin has an approved Australian indication for children/adolescents aged 2-18 where sleep hygiene measures are insufficient.</w:t>
            </w:r>
          </w:p>
        </w:tc>
        <w:tc>
          <w:tcPr>
            <w:tcW w:w="3744" w:type="dxa"/>
          </w:tcPr>
          <w:p w14:paraId="28274A24" w14:textId="77777777" w:rsidR="002766E2" w:rsidRDefault="00000000">
            <w:pPr>
              <w:spacing w:after="0"/>
            </w:pPr>
            <w:r>
              <w:rPr>
                <w:sz w:val="17"/>
              </w:rPr>
              <w:t>Slenyto PI: starting 2 mg, may increase to 5 mg, maximum 10 mg under prescriber review.</w:t>
            </w:r>
          </w:p>
        </w:tc>
      </w:tr>
      <w:tr w:rsidR="002766E2" w14:paraId="200D8AB3" w14:textId="77777777">
        <w:trPr>
          <w:jc w:val="center"/>
        </w:trPr>
        <w:tc>
          <w:tcPr>
            <w:tcW w:w="2304" w:type="dxa"/>
          </w:tcPr>
          <w:p w14:paraId="643AAC25" w14:textId="77777777" w:rsidR="002766E2" w:rsidRDefault="00000000">
            <w:pPr>
              <w:spacing w:after="0"/>
            </w:pPr>
            <w:r>
              <w:rPr>
                <w:sz w:val="17"/>
              </w:rPr>
              <w:t>ADHD/neurodevelopmental sleep-onset delay</w:t>
            </w:r>
          </w:p>
        </w:tc>
        <w:tc>
          <w:tcPr>
            <w:tcW w:w="4032" w:type="dxa"/>
          </w:tcPr>
          <w:p w14:paraId="39EAF703" w14:textId="77777777" w:rsidR="002766E2" w:rsidRDefault="00000000">
            <w:pPr>
              <w:spacing w:after="0"/>
            </w:pPr>
            <w:r>
              <w:rPr>
                <w:sz w:val="17"/>
              </w:rPr>
              <w:t>Clinical reviews describe use in paediatric neurodevelopmental sleep disorders where behavioural strategies are insufficient.</w:t>
            </w:r>
          </w:p>
        </w:tc>
        <w:tc>
          <w:tcPr>
            <w:tcW w:w="3744" w:type="dxa"/>
          </w:tcPr>
          <w:p w14:paraId="0612F354" w14:textId="77777777" w:rsidR="002766E2" w:rsidRDefault="00000000">
            <w:pPr>
              <w:spacing w:after="0"/>
            </w:pPr>
            <w:r>
              <w:rPr>
                <w:sz w:val="17"/>
              </w:rPr>
              <w:t>Assess stimulant timing, anxiety, screen exposure, sleep routine and comorbidities.</w:t>
            </w:r>
          </w:p>
        </w:tc>
      </w:tr>
    </w:tbl>
    <w:p w14:paraId="428EBCCF" w14:textId="77777777" w:rsidR="002766E2" w:rsidRDefault="00000000">
      <w:pPr>
        <w:pStyle w:val="Heading1"/>
      </w:pPr>
      <w:r>
        <w:t>Paediatric and adolescent dose framework</w:t>
      </w:r>
    </w:p>
    <w:p w14:paraId="78EE2B7C" w14:textId="77777777" w:rsidR="002766E2" w:rsidRDefault="00000000">
      <w:r>
        <w:t>The table below is a practical dose-calculation aid only and should not replace prescriber judgement. Dose, timing and formulation should be individualised according to indication, age, response, adverse effects and whether the intended effect is chronobiotic/circadian or hypnotic/sleep-onset support.</w:t>
      </w:r>
    </w:p>
    <w:tbl>
      <w:tblPr>
        <w:tblStyle w:val="TableGrid"/>
        <w:tblW w:w="0" w:type="auto"/>
        <w:jc w:val="center"/>
        <w:tblLook w:val="04A0" w:firstRow="1" w:lastRow="0" w:firstColumn="1" w:lastColumn="0" w:noHBand="0" w:noVBand="1"/>
      </w:tblPr>
      <w:tblGrid>
        <w:gridCol w:w="1440"/>
        <w:gridCol w:w="2880"/>
        <w:gridCol w:w="2880"/>
        <w:gridCol w:w="3024"/>
      </w:tblGrid>
      <w:tr w:rsidR="002766E2" w14:paraId="36A6CDB4" w14:textId="77777777">
        <w:trPr>
          <w:jc w:val="center"/>
        </w:trPr>
        <w:tc>
          <w:tcPr>
            <w:tcW w:w="1440" w:type="dxa"/>
            <w:shd w:val="clear" w:color="auto" w:fill="1F4E79"/>
          </w:tcPr>
          <w:p w14:paraId="64072F87" w14:textId="77777777" w:rsidR="002766E2" w:rsidRDefault="00000000">
            <w:pPr>
              <w:spacing w:after="0"/>
            </w:pPr>
            <w:r>
              <w:rPr>
                <w:b/>
                <w:color w:val="FFFFFF"/>
                <w:sz w:val="17"/>
              </w:rPr>
              <w:t>Weight</w:t>
            </w:r>
          </w:p>
        </w:tc>
        <w:tc>
          <w:tcPr>
            <w:tcW w:w="2880" w:type="dxa"/>
            <w:shd w:val="clear" w:color="auto" w:fill="1F4E79"/>
          </w:tcPr>
          <w:p w14:paraId="02B73513" w14:textId="77777777" w:rsidR="002766E2" w:rsidRDefault="00000000">
            <w:pPr>
              <w:spacing w:after="0"/>
            </w:pPr>
            <w:r>
              <w:rPr>
                <w:b/>
                <w:color w:val="FFFFFF"/>
                <w:sz w:val="17"/>
              </w:rPr>
              <w:t>0.05 mg/kg starting dose</w:t>
            </w:r>
          </w:p>
        </w:tc>
        <w:tc>
          <w:tcPr>
            <w:tcW w:w="2880" w:type="dxa"/>
            <w:shd w:val="clear" w:color="auto" w:fill="1F4E79"/>
          </w:tcPr>
          <w:p w14:paraId="497BC403" w14:textId="77777777" w:rsidR="002766E2" w:rsidRDefault="00000000">
            <w:pPr>
              <w:spacing w:after="0"/>
            </w:pPr>
            <w:r>
              <w:rPr>
                <w:b/>
                <w:color w:val="FFFFFF"/>
                <w:sz w:val="17"/>
              </w:rPr>
              <w:t>0.1 mg/kg intermediate dose</w:t>
            </w:r>
          </w:p>
        </w:tc>
        <w:tc>
          <w:tcPr>
            <w:tcW w:w="3024" w:type="dxa"/>
            <w:shd w:val="clear" w:color="auto" w:fill="1F4E79"/>
          </w:tcPr>
          <w:p w14:paraId="2C1B8414" w14:textId="77777777" w:rsidR="002766E2" w:rsidRDefault="00000000">
            <w:pPr>
              <w:spacing w:after="0"/>
            </w:pPr>
            <w:r>
              <w:rPr>
                <w:b/>
                <w:color w:val="FFFFFF"/>
                <w:sz w:val="17"/>
              </w:rPr>
              <w:t>0.15 mg/kg upper calculation</w:t>
            </w:r>
          </w:p>
        </w:tc>
      </w:tr>
      <w:tr w:rsidR="002766E2" w14:paraId="7AF3C240" w14:textId="77777777">
        <w:trPr>
          <w:jc w:val="center"/>
        </w:trPr>
        <w:tc>
          <w:tcPr>
            <w:tcW w:w="1440" w:type="dxa"/>
          </w:tcPr>
          <w:p w14:paraId="382E5572" w14:textId="77777777" w:rsidR="002766E2" w:rsidRDefault="00000000">
            <w:pPr>
              <w:spacing w:after="0"/>
            </w:pPr>
            <w:r>
              <w:rPr>
                <w:sz w:val="17"/>
              </w:rPr>
              <w:t>10 kg</w:t>
            </w:r>
          </w:p>
        </w:tc>
        <w:tc>
          <w:tcPr>
            <w:tcW w:w="2880" w:type="dxa"/>
          </w:tcPr>
          <w:p w14:paraId="6490D532" w14:textId="77777777" w:rsidR="002766E2" w:rsidRDefault="00000000">
            <w:pPr>
              <w:spacing w:after="0"/>
            </w:pPr>
            <w:r>
              <w:rPr>
                <w:sz w:val="17"/>
              </w:rPr>
              <w:t>0.5 mg</w:t>
            </w:r>
          </w:p>
        </w:tc>
        <w:tc>
          <w:tcPr>
            <w:tcW w:w="2880" w:type="dxa"/>
          </w:tcPr>
          <w:p w14:paraId="234FD6C0" w14:textId="77777777" w:rsidR="002766E2" w:rsidRDefault="00000000">
            <w:pPr>
              <w:spacing w:after="0"/>
            </w:pPr>
            <w:r>
              <w:rPr>
                <w:sz w:val="17"/>
              </w:rPr>
              <w:t>1 mg</w:t>
            </w:r>
          </w:p>
        </w:tc>
        <w:tc>
          <w:tcPr>
            <w:tcW w:w="3024" w:type="dxa"/>
          </w:tcPr>
          <w:p w14:paraId="48EE59B1" w14:textId="77777777" w:rsidR="002766E2" w:rsidRDefault="00000000">
            <w:pPr>
              <w:spacing w:after="0"/>
            </w:pPr>
            <w:r>
              <w:rPr>
                <w:sz w:val="17"/>
              </w:rPr>
              <w:t>1.5 mg</w:t>
            </w:r>
          </w:p>
        </w:tc>
      </w:tr>
      <w:tr w:rsidR="002766E2" w14:paraId="5BF38E0D" w14:textId="77777777">
        <w:trPr>
          <w:jc w:val="center"/>
        </w:trPr>
        <w:tc>
          <w:tcPr>
            <w:tcW w:w="1440" w:type="dxa"/>
          </w:tcPr>
          <w:p w14:paraId="7470011D" w14:textId="77777777" w:rsidR="002766E2" w:rsidRDefault="00000000">
            <w:pPr>
              <w:spacing w:after="0"/>
            </w:pPr>
            <w:r>
              <w:rPr>
                <w:sz w:val="17"/>
              </w:rPr>
              <w:t>20 kg</w:t>
            </w:r>
          </w:p>
        </w:tc>
        <w:tc>
          <w:tcPr>
            <w:tcW w:w="2880" w:type="dxa"/>
          </w:tcPr>
          <w:p w14:paraId="07E7BD16" w14:textId="77777777" w:rsidR="002766E2" w:rsidRDefault="00000000">
            <w:pPr>
              <w:spacing w:after="0"/>
            </w:pPr>
            <w:r>
              <w:rPr>
                <w:sz w:val="17"/>
              </w:rPr>
              <w:t>1 mg</w:t>
            </w:r>
          </w:p>
        </w:tc>
        <w:tc>
          <w:tcPr>
            <w:tcW w:w="2880" w:type="dxa"/>
          </w:tcPr>
          <w:p w14:paraId="604D98BB" w14:textId="77777777" w:rsidR="002766E2" w:rsidRDefault="00000000">
            <w:pPr>
              <w:spacing w:after="0"/>
            </w:pPr>
            <w:r>
              <w:rPr>
                <w:sz w:val="17"/>
              </w:rPr>
              <w:t>2 mg</w:t>
            </w:r>
          </w:p>
        </w:tc>
        <w:tc>
          <w:tcPr>
            <w:tcW w:w="3024" w:type="dxa"/>
          </w:tcPr>
          <w:p w14:paraId="1BE9306D" w14:textId="77777777" w:rsidR="002766E2" w:rsidRDefault="00000000">
            <w:pPr>
              <w:spacing w:after="0"/>
            </w:pPr>
            <w:r>
              <w:rPr>
                <w:sz w:val="17"/>
              </w:rPr>
              <w:t>3 mg</w:t>
            </w:r>
          </w:p>
        </w:tc>
      </w:tr>
      <w:tr w:rsidR="002766E2" w14:paraId="18702D67" w14:textId="77777777">
        <w:trPr>
          <w:jc w:val="center"/>
        </w:trPr>
        <w:tc>
          <w:tcPr>
            <w:tcW w:w="1440" w:type="dxa"/>
          </w:tcPr>
          <w:p w14:paraId="299D7B5D" w14:textId="77777777" w:rsidR="002766E2" w:rsidRDefault="00000000">
            <w:pPr>
              <w:spacing w:after="0"/>
            </w:pPr>
            <w:r>
              <w:rPr>
                <w:sz w:val="17"/>
              </w:rPr>
              <w:t>30 kg</w:t>
            </w:r>
          </w:p>
        </w:tc>
        <w:tc>
          <w:tcPr>
            <w:tcW w:w="2880" w:type="dxa"/>
          </w:tcPr>
          <w:p w14:paraId="1992752E" w14:textId="77777777" w:rsidR="002766E2" w:rsidRDefault="00000000">
            <w:pPr>
              <w:spacing w:after="0"/>
            </w:pPr>
            <w:r>
              <w:rPr>
                <w:sz w:val="17"/>
              </w:rPr>
              <w:t>1.5 mg</w:t>
            </w:r>
          </w:p>
        </w:tc>
        <w:tc>
          <w:tcPr>
            <w:tcW w:w="2880" w:type="dxa"/>
          </w:tcPr>
          <w:p w14:paraId="22A629BF" w14:textId="77777777" w:rsidR="002766E2" w:rsidRDefault="00000000">
            <w:pPr>
              <w:spacing w:after="0"/>
            </w:pPr>
            <w:r>
              <w:rPr>
                <w:sz w:val="17"/>
              </w:rPr>
              <w:t>3 mg</w:t>
            </w:r>
          </w:p>
        </w:tc>
        <w:tc>
          <w:tcPr>
            <w:tcW w:w="3024" w:type="dxa"/>
          </w:tcPr>
          <w:p w14:paraId="5B9C5B87" w14:textId="77777777" w:rsidR="002766E2" w:rsidRDefault="00000000">
            <w:pPr>
              <w:spacing w:after="0"/>
            </w:pPr>
            <w:r>
              <w:rPr>
                <w:sz w:val="17"/>
              </w:rPr>
              <w:t>4.5 mg</w:t>
            </w:r>
          </w:p>
        </w:tc>
      </w:tr>
      <w:tr w:rsidR="002766E2" w14:paraId="07DE565A" w14:textId="77777777">
        <w:trPr>
          <w:jc w:val="center"/>
        </w:trPr>
        <w:tc>
          <w:tcPr>
            <w:tcW w:w="1440" w:type="dxa"/>
          </w:tcPr>
          <w:p w14:paraId="228A765A" w14:textId="77777777" w:rsidR="002766E2" w:rsidRDefault="00000000">
            <w:pPr>
              <w:spacing w:after="0"/>
            </w:pPr>
            <w:r>
              <w:rPr>
                <w:sz w:val="17"/>
              </w:rPr>
              <w:t>40 kg</w:t>
            </w:r>
          </w:p>
        </w:tc>
        <w:tc>
          <w:tcPr>
            <w:tcW w:w="2880" w:type="dxa"/>
          </w:tcPr>
          <w:p w14:paraId="34EB1B6F" w14:textId="77777777" w:rsidR="002766E2" w:rsidRDefault="00000000">
            <w:pPr>
              <w:spacing w:after="0"/>
            </w:pPr>
            <w:r>
              <w:rPr>
                <w:sz w:val="17"/>
              </w:rPr>
              <w:t>2 mg</w:t>
            </w:r>
          </w:p>
        </w:tc>
        <w:tc>
          <w:tcPr>
            <w:tcW w:w="2880" w:type="dxa"/>
          </w:tcPr>
          <w:p w14:paraId="3A8848C4" w14:textId="77777777" w:rsidR="002766E2" w:rsidRDefault="00000000">
            <w:pPr>
              <w:spacing w:after="0"/>
            </w:pPr>
            <w:r>
              <w:rPr>
                <w:sz w:val="17"/>
              </w:rPr>
              <w:t>4 mg</w:t>
            </w:r>
          </w:p>
        </w:tc>
        <w:tc>
          <w:tcPr>
            <w:tcW w:w="3024" w:type="dxa"/>
          </w:tcPr>
          <w:p w14:paraId="195C6012" w14:textId="77777777" w:rsidR="002766E2" w:rsidRDefault="00000000">
            <w:pPr>
              <w:spacing w:after="0"/>
            </w:pPr>
            <w:r>
              <w:rPr>
                <w:sz w:val="17"/>
              </w:rPr>
              <w:t>6 mg</w:t>
            </w:r>
          </w:p>
        </w:tc>
      </w:tr>
      <w:tr w:rsidR="002766E2" w14:paraId="11A11A35" w14:textId="77777777">
        <w:trPr>
          <w:jc w:val="center"/>
        </w:trPr>
        <w:tc>
          <w:tcPr>
            <w:tcW w:w="1440" w:type="dxa"/>
          </w:tcPr>
          <w:p w14:paraId="77A37CEE" w14:textId="77777777" w:rsidR="002766E2" w:rsidRDefault="00000000">
            <w:pPr>
              <w:spacing w:after="0"/>
            </w:pPr>
            <w:r>
              <w:rPr>
                <w:sz w:val="17"/>
              </w:rPr>
              <w:t>50 kg</w:t>
            </w:r>
          </w:p>
        </w:tc>
        <w:tc>
          <w:tcPr>
            <w:tcW w:w="2880" w:type="dxa"/>
          </w:tcPr>
          <w:p w14:paraId="55FCA62E" w14:textId="77777777" w:rsidR="002766E2" w:rsidRDefault="00000000">
            <w:pPr>
              <w:spacing w:after="0"/>
            </w:pPr>
            <w:r>
              <w:rPr>
                <w:sz w:val="17"/>
              </w:rPr>
              <w:t>2.5 mg</w:t>
            </w:r>
          </w:p>
        </w:tc>
        <w:tc>
          <w:tcPr>
            <w:tcW w:w="2880" w:type="dxa"/>
          </w:tcPr>
          <w:p w14:paraId="588005F5" w14:textId="77777777" w:rsidR="002766E2" w:rsidRDefault="00000000">
            <w:pPr>
              <w:spacing w:after="0"/>
            </w:pPr>
            <w:r>
              <w:rPr>
                <w:sz w:val="17"/>
              </w:rPr>
              <w:t>5 mg</w:t>
            </w:r>
          </w:p>
        </w:tc>
        <w:tc>
          <w:tcPr>
            <w:tcW w:w="3024" w:type="dxa"/>
          </w:tcPr>
          <w:p w14:paraId="42715A46" w14:textId="77777777" w:rsidR="002766E2" w:rsidRDefault="00000000">
            <w:pPr>
              <w:spacing w:after="0"/>
            </w:pPr>
            <w:r>
              <w:rPr>
                <w:sz w:val="17"/>
              </w:rPr>
              <w:t>7.5 mg</w:t>
            </w:r>
          </w:p>
        </w:tc>
      </w:tr>
      <w:tr w:rsidR="002766E2" w14:paraId="1CB3B0A2" w14:textId="77777777">
        <w:trPr>
          <w:jc w:val="center"/>
        </w:trPr>
        <w:tc>
          <w:tcPr>
            <w:tcW w:w="1440" w:type="dxa"/>
          </w:tcPr>
          <w:p w14:paraId="6C771082" w14:textId="77777777" w:rsidR="002766E2" w:rsidRDefault="00000000">
            <w:pPr>
              <w:spacing w:after="0"/>
            </w:pPr>
            <w:r>
              <w:rPr>
                <w:sz w:val="17"/>
              </w:rPr>
              <w:t>60 kg</w:t>
            </w:r>
          </w:p>
        </w:tc>
        <w:tc>
          <w:tcPr>
            <w:tcW w:w="2880" w:type="dxa"/>
          </w:tcPr>
          <w:p w14:paraId="2EC14057" w14:textId="77777777" w:rsidR="002766E2" w:rsidRDefault="00000000">
            <w:pPr>
              <w:spacing w:after="0"/>
            </w:pPr>
            <w:r>
              <w:rPr>
                <w:sz w:val="17"/>
              </w:rPr>
              <w:t>3 mg</w:t>
            </w:r>
          </w:p>
        </w:tc>
        <w:tc>
          <w:tcPr>
            <w:tcW w:w="2880" w:type="dxa"/>
          </w:tcPr>
          <w:p w14:paraId="46CE1FD9" w14:textId="77777777" w:rsidR="002766E2" w:rsidRDefault="00000000">
            <w:pPr>
              <w:spacing w:after="0"/>
            </w:pPr>
            <w:r>
              <w:rPr>
                <w:sz w:val="17"/>
              </w:rPr>
              <w:t>6 mg</w:t>
            </w:r>
          </w:p>
        </w:tc>
        <w:tc>
          <w:tcPr>
            <w:tcW w:w="3024" w:type="dxa"/>
          </w:tcPr>
          <w:p w14:paraId="6CA8A44B" w14:textId="77777777" w:rsidR="002766E2" w:rsidRDefault="00000000">
            <w:pPr>
              <w:spacing w:after="0"/>
            </w:pPr>
            <w:r>
              <w:rPr>
                <w:sz w:val="17"/>
              </w:rPr>
              <w:t>9 mg</w:t>
            </w:r>
          </w:p>
        </w:tc>
      </w:tr>
    </w:tbl>
    <w:p w14:paraId="348BF32B" w14:textId="77777777" w:rsidR="002766E2" w:rsidRDefault="00000000">
      <w:pPr>
        <w:pStyle w:val="SmallNote"/>
      </w:pPr>
      <w:r>
        <w:t>Suggested wording for the website: “The table is provided for prescriber calculation only. The final dose, duration and review interval remain the responsibility of the treating medical practitioner.”</w:t>
      </w:r>
    </w:p>
    <w:p w14:paraId="77FC9AED" w14:textId="77777777" w:rsidR="002766E2" w:rsidRDefault="00000000">
      <w:pPr>
        <w:pStyle w:val="Heading1"/>
      </w:pPr>
      <w:r>
        <w:t>Adolescents aged 12 years and above / adults</w:t>
      </w:r>
    </w:p>
    <w:p w14:paraId="30D05BED" w14:textId="77777777" w:rsidR="002766E2" w:rsidRDefault="00000000">
      <w:r>
        <w:t>A common practical prescribing range for sleep-onset symptoms is melatonin 2-5 mg nocte, taken approximately 30-60 minutes before the intended bedtime. A cautious approach is to start at 2 mg or 3 mg and titrate to 5 mg if clinically required and tolerated. For circadian phase-shifting, earlier evening timing may be needed and should be clinically directed.</w:t>
      </w:r>
    </w:p>
    <w:p w14:paraId="4463673E" w14:textId="77777777" w:rsidR="002766E2" w:rsidRDefault="00000000">
      <w:pPr>
        <w:pStyle w:val="Heading2"/>
      </w:pPr>
      <w:r>
        <w:t>Older adults and falls-risk patients</w:t>
      </w:r>
    </w:p>
    <w:p w14:paraId="347C8EB0" w14:textId="77777777" w:rsidR="002766E2" w:rsidRDefault="00000000">
      <w:pPr>
        <w:pStyle w:val="ListBullet"/>
        <w:spacing w:after="40"/>
      </w:pPr>
      <w:r>
        <w:t>Modified-release melatonin 2 mg is used for short-term treatment of primary insomnia characterised by poor sleep quality in adults aged 55 years and over.</w:t>
      </w:r>
    </w:p>
    <w:p w14:paraId="297AD59F" w14:textId="5D48DF17" w:rsidR="002766E2" w:rsidRDefault="00000000">
      <w:pPr>
        <w:pStyle w:val="ListBullet"/>
        <w:spacing w:after="40"/>
      </w:pPr>
      <w:r>
        <w:t>Use higher doses</w:t>
      </w:r>
      <w:r w:rsidR="00CD268A">
        <w:t xml:space="preserve"> (</w:t>
      </w:r>
      <w:proofErr w:type="spellStart"/>
      <w:r w:rsidR="00CD268A">
        <w:t>i.e</w:t>
      </w:r>
      <w:proofErr w:type="spellEnd"/>
      <w:r w:rsidR="00CD268A">
        <w:t xml:space="preserve"> exceeding 5mg)</w:t>
      </w:r>
      <w:r>
        <w:t xml:space="preserve"> cautiously in older or frail patients because next-day drowsiness, dizziness, headache, vivid dreams and falls risk may be clinically relevant.</w:t>
      </w:r>
    </w:p>
    <w:p w14:paraId="68620CE0" w14:textId="77777777" w:rsidR="002766E2" w:rsidRDefault="00000000">
      <w:pPr>
        <w:pStyle w:val="ListBullet"/>
        <w:spacing w:after="40"/>
      </w:pPr>
      <w:r>
        <w:lastRenderedPageBreak/>
        <w:t>Review sedatives, alcohol intake, antihistamines, opioids, antidepressants and other medicines that may increase sedation or impairment.</w:t>
      </w:r>
    </w:p>
    <w:p w14:paraId="1494DE98" w14:textId="77777777" w:rsidR="002766E2" w:rsidRDefault="00000000">
      <w:pPr>
        <w:pStyle w:val="ListBullet"/>
        <w:spacing w:after="40"/>
      </w:pPr>
      <w:r>
        <w:t>Consider renal impairment, hepatic impairment, autoimmune disease, pregnancy/breastfeeding status and interaction potential before prescribing.</w:t>
      </w:r>
    </w:p>
    <w:p w14:paraId="2E2C324E" w14:textId="77777777" w:rsidR="002766E2" w:rsidRDefault="00000000">
      <w:pPr>
        <w:pStyle w:val="Heading1"/>
      </w:pPr>
      <w:r>
        <w:t>Compounding options for prescribers</w:t>
      </w:r>
    </w:p>
    <w:tbl>
      <w:tblPr>
        <w:tblStyle w:val="TableGrid"/>
        <w:tblW w:w="0" w:type="auto"/>
        <w:jc w:val="center"/>
        <w:tblLook w:val="04A0" w:firstRow="1" w:lastRow="0" w:firstColumn="1" w:lastColumn="0" w:noHBand="0" w:noVBand="1"/>
      </w:tblPr>
      <w:tblGrid>
        <w:gridCol w:w="2016"/>
        <w:gridCol w:w="3168"/>
        <w:gridCol w:w="4896"/>
      </w:tblGrid>
      <w:tr w:rsidR="002766E2" w14:paraId="486851BB" w14:textId="77777777">
        <w:trPr>
          <w:jc w:val="center"/>
        </w:trPr>
        <w:tc>
          <w:tcPr>
            <w:tcW w:w="2016" w:type="dxa"/>
            <w:shd w:val="clear" w:color="auto" w:fill="1F4E79"/>
          </w:tcPr>
          <w:p w14:paraId="70929FF1" w14:textId="77777777" w:rsidR="002766E2" w:rsidRDefault="00000000">
            <w:pPr>
              <w:spacing w:after="0"/>
            </w:pPr>
            <w:r>
              <w:rPr>
                <w:b/>
                <w:color w:val="FFFFFF"/>
                <w:sz w:val="17"/>
              </w:rPr>
              <w:t>Formulation</w:t>
            </w:r>
          </w:p>
        </w:tc>
        <w:tc>
          <w:tcPr>
            <w:tcW w:w="3168" w:type="dxa"/>
            <w:shd w:val="clear" w:color="auto" w:fill="1F4E79"/>
          </w:tcPr>
          <w:p w14:paraId="440ED6F0" w14:textId="77777777" w:rsidR="002766E2" w:rsidRDefault="00000000">
            <w:pPr>
              <w:spacing w:after="0"/>
            </w:pPr>
            <w:r>
              <w:rPr>
                <w:b/>
                <w:color w:val="FFFFFF"/>
                <w:sz w:val="17"/>
              </w:rPr>
              <w:t>Typical compounded request</w:t>
            </w:r>
          </w:p>
        </w:tc>
        <w:tc>
          <w:tcPr>
            <w:tcW w:w="4896" w:type="dxa"/>
            <w:shd w:val="clear" w:color="auto" w:fill="1F4E79"/>
          </w:tcPr>
          <w:p w14:paraId="08588EBB" w14:textId="77777777" w:rsidR="002766E2" w:rsidRDefault="00000000">
            <w:pPr>
              <w:spacing w:after="0"/>
            </w:pPr>
            <w:r>
              <w:rPr>
                <w:b/>
                <w:color w:val="FFFFFF"/>
                <w:sz w:val="17"/>
              </w:rPr>
              <w:t>Practical prescriber notes</w:t>
            </w:r>
          </w:p>
        </w:tc>
      </w:tr>
      <w:tr w:rsidR="002766E2" w14:paraId="7C8A76DB" w14:textId="77777777">
        <w:trPr>
          <w:jc w:val="center"/>
        </w:trPr>
        <w:tc>
          <w:tcPr>
            <w:tcW w:w="2016" w:type="dxa"/>
          </w:tcPr>
          <w:p w14:paraId="65145CCE" w14:textId="77777777" w:rsidR="002766E2" w:rsidRDefault="00000000">
            <w:pPr>
              <w:spacing w:after="0"/>
            </w:pPr>
            <w:r>
              <w:rPr>
                <w:sz w:val="17"/>
              </w:rPr>
              <w:t>Oral liquid</w:t>
            </w:r>
          </w:p>
        </w:tc>
        <w:tc>
          <w:tcPr>
            <w:tcW w:w="3168" w:type="dxa"/>
          </w:tcPr>
          <w:p w14:paraId="59393DED" w14:textId="77777777" w:rsidR="002766E2" w:rsidRDefault="00000000">
            <w:pPr>
              <w:spacing w:after="0"/>
            </w:pPr>
            <w:r>
              <w:rPr>
                <w:sz w:val="17"/>
              </w:rPr>
              <w:t>Melatonin 2 mg/mL oral liquid/syrup</w:t>
            </w:r>
          </w:p>
        </w:tc>
        <w:tc>
          <w:tcPr>
            <w:tcW w:w="4896" w:type="dxa"/>
          </w:tcPr>
          <w:p w14:paraId="040986F1" w14:textId="77777777" w:rsidR="002766E2" w:rsidRDefault="00000000">
            <w:pPr>
              <w:spacing w:after="0"/>
            </w:pPr>
            <w:r>
              <w:rPr>
                <w:sz w:val="17"/>
              </w:rPr>
              <w:t>Useful when swallowing tablets/capsules is difficult or when flexible low-dose titration is required. Typical quantity 30-60 mL depending on duration and prescribed dose.</w:t>
            </w:r>
          </w:p>
        </w:tc>
      </w:tr>
      <w:tr w:rsidR="002766E2" w14:paraId="2EAC8B16" w14:textId="77777777">
        <w:trPr>
          <w:jc w:val="center"/>
        </w:trPr>
        <w:tc>
          <w:tcPr>
            <w:tcW w:w="2016" w:type="dxa"/>
          </w:tcPr>
          <w:p w14:paraId="66FEAF4F" w14:textId="77777777" w:rsidR="002766E2" w:rsidRDefault="00000000">
            <w:pPr>
              <w:spacing w:after="0"/>
            </w:pPr>
            <w:r>
              <w:rPr>
                <w:sz w:val="17"/>
              </w:rPr>
              <w:t>Capsules</w:t>
            </w:r>
          </w:p>
        </w:tc>
        <w:tc>
          <w:tcPr>
            <w:tcW w:w="3168" w:type="dxa"/>
          </w:tcPr>
          <w:p w14:paraId="53985E5D" w14:textId="77777777" w:rsidR="002766E2" w:rsidRDefault="00000000">
            <w:pPr>
              <w:spacing w:after="0"/>
            </w:pPr>
            <w:r>
              <w:rPr>
                <w:sz w:val="17"/>
              </w:rPr>
              <w:t xml:space="preserve">1-10 mg capsules; immediate-release or slow-release base </w:t>
            </w:r>
            <w:proofErr w:type="gramStart"/>
            <w:r>
              <w:rPr>
                <w:sz w:val="17"/>
              </w:rPr>
              <w:t>where</w:t>
            </w:r>
            <w:proofErr w:type="gramEnd"/>
            <w:r>
              <w:rPr>
                <w:sz w:val="17"/>
              </w:rPr>
              <w:t xml:space="preserve"> requested</w:t>
            </w:r>
          </w:p>
        </w:tc>
        <w:tc>
          <w:tcPr>
            <w:tcW w:w="4896" w:type="dxa"/>
          </w:tcPr>
          <w:p w14:paraId="1768E882" w14:textId="77777777" w:rsidR="002766E2" w:rsidRDefault="00000000">
            <w:pPr>
              <w:spacing w:after="0"/>
            </w:pPr>
            <w:r>
              <w:rPr>
                <w:sz w:val="17"/>
              </w:rPr>
              <w:t xml:space="preserve">Suitable when a fixed dose is </w:t>
            </w:r>
            <w:proofErr w:type="gramStart"/>
            <w:r>
              <w:rPr>
                <w:sz w:val="17"/>
              </w:rPr>
              <w:t>preferred</w:t>
            </w:r>
            <w:proofErr w:type="gramEnd"/>
            <w:r>
              <w:rPr>
                <w:sz w:val="17"/>
              </w:rPr>
              <w:t xml:space="preserve"> and the patient can swallow capsules. Strength and release profile should be specified on prescription.</w:t>
            </w:r>
          </w:p>
        </w:tc>
      </w:tr>
      <w:tr w:rsidR="002766E2" w14:paraId="3A487805" w14:textId="77777777">
        <w:trPr>
          <w:jc w:val="center"/>
        </w:trPr>
        <w:tc>
          <w:tcPr>
            <w:tcW w:w="2016" w:type="dxa"/>
          </w:tcPr>
          <w:p w14:paraId="2C6085E3" w14:textId="77777777" w:rsidR="002766E2" w:rsidRDefault="00000000">
            <w:pPr>
              <w:spacing w:after="0"/>
            </w:pPr>
            <w:r>
              <w:rPr>
                <w:sz w:val="17"/>
              </w:rPr>
              <w:t>Troches / lozenges</w:t>
            </w:r>
          </w:p>
        </w:tc>
        <w:tc>
          <w:tcPr>
            <w:tcW w:w="3168" w:type="dxa"/>
          </w:tcPr>
          <w:p w14:paraId="0DFD2677" w14:textId="77777777" w:rsidR="002766E2" w:rsidRDefault="00000000">
            <w:pPr>
              <w:spacing w:after="0"/>
            </w:pPr>
            <w:r>
              <w:rPr>
                <w:sz w:val="17"/>
              </w:rPr>
              <w:t>Common practical range: 1-5 mg per troche; other strengths on prescription</w:t>
            </w:r>
          </w:p>
        </w:tc>
        <w:tc>
          <w:tcPr>
            <w:tcW w:w="4896" w:type="dxa"/>
          </w:tcPr>
          <w:p w14:paraId="43B96445" w14:textId="77777777" w:rsidR="002766E2" w:rsidRDefault="00000000">
            <w:pPr>
              <w:spacing w:after="0"/>
            </w:pPr>
            <w:r>
              <w:rPr>
                <w:sz w:val="17"/>
              </w:rPr>
              <w:t>May be considered for swallowing difficulty or when transmucosal absorption/faster onset is desired. Stability and heat sensitivity need counselling.</w:t>
            </w:r>
          </w:p>
        </w:tc>
      </w:tr>
    </w:tbl>
    <w:p w14:paraId="09312033" w14:textId="77777777" w:rsidR="002766E2" w:rsidRDefault="00000000">
      <w:pPr>
        <w:pStyle w:val="Heading1"/>
      </w:pPr>
      <w:r>
        <w:t>Melatonin troches: rationale and limitations</w:t>
      </w:r>
    </w:p>
    <w:p w14:paraId="3CAD09D6" w14:textId="77777777" w:rsidR="002766E2" w:rsidRDefault="00000000">
      <w:r>
        <w:t>Oral melatonin shows variable bioavailability, partly related to absorption and first-pass metabolism. A transmucosal dosage form may theoretically reduce first-pass loss and may be useful where rapid onset or swallowing difficulty is a practical issue. However, direct evidence for compounded melatonin troches is limited; prescribers should regard troches as a practical formulation option rather than a clearly superior evidence-based dosage form.</w:t>
      </w:r>
    </w:p>
    <w:tbl>
      <w:tblPr>
        <w:tblStyle w:val="TableGrid"/>
        <w:tblW w:w="0" w:type="auto"/>
        <w:jc w:val="center"/>
        <w:tblLook w:val="04A0" w:firstRow="1" w:lastRow="0" w:firstColumn="1" w:lastColumn="0" w:noHBand="0" w:noVBand="1"/>
      </w:tblPr>
      <w:tblGrid>
        <w:gridCol w:w="2448"/>
        <w:gridCol w:w="7488"/>
      </w:tblGrid>
      <w:tr w:rsidR="002766E2" w14:paraId="2D146BE1" w14:textId="77777777">
        <w:trPr>
          <w:jc w:val="center"/>
        </w:trPr>
        <w:tc>
          <w:tcPr>
            <w:tcW w:w="2448" w:type="dxa"/>
            <w:shd w:val="clear" w:color="auto" w:fill="1F4E79"/>
          </w:tcPr>
          <w:p w14:paraId="555F3141" w14:textId="77777777" w:rsidR="002766E2" w:rsidRDefault="00000000">
            <w:pPr>
              <w:spacing w:after="0"/>
            </w:pPr>
            <w:r>
              <w:rPr>
                <w:b/>
                <w:color w:val="FFFFFF"/>
                <w:sz w:val="17"/>
              </w:rPr>
              <w:t>Point</w:t>
            </w:r>
          </w:p>
        </w:tc>
        <w:tc>
          <w:tcPr>
            <w:tcW w:w="7488" w:type="dxa"/>
            <w:shd w:val="clear" w:color="auto" w:fill="1F4E79"/>
          </w:tcPr>
          <w:p w14:paraId="3FF174A3" w14:textId="77777777" w:rsidR="002766E2" w:rsidRDefault="00000000">
            <w:pPr>
              <w:spacing w:after="0"/>
            </w:pPr>
            <w:r>
              <w:rPr>
                <w:b/>
                <w:color w:val="FFFFFF"/>
                <w:sz w:val="17"/>
              </w:rPr>
              <w:t>Clinician-facing wording</w:t>
            </w:r>
          </w:p>
        </w:tc>
      </w:tr>
      <w:tr w:rsidR="002766E2" w14:paraId="3407B51B" w14:textId="77777777">
        <w:trPr>
          <w:jc w:val="center"/>
        </w:trPr>
        <w:tc>
          <w:tcPr>
            <w:tcW w:w="2448" w:type="dxa"/>
          </w:tcPr>
          <w:p w14:paraId="037B6857" w14:textId="77777777" w:rsidR="002766E2" w:rsidRDefault="00000000">
            <w:pPr>
              <w:spacing w:after="0"/>
            </w:pPr>
            <w:r>
              <w:rPr>
                <w:sz w:val="17"/>
              </w:rPr>
              <w:t>Potential advantages</w:t>
            </w:r>
          </w:p>
        </w:tc>
        <w:tc>
          <w:tcPr>
            <w:tcW w:w="7488" w:type="dxa"/>
          </w:tcPr>
          <w:p w14:paraId="305E7DAA" w14:textId="77777777" w:rsidR="002766E2" w:rsidRDefault="00000000">
            <w:pPr>
              <w:spacing w:after="0"/>
            </w:pPr>
            <w:r>
              <w:rPr>
                <w:sz w:val="17"/>
              </w:rPr>
              <w:t>May dissolve in the mouth; may assist patients with swallowing difficulty; may have faster onset than swallowed capsules/tablets.</w:t>
            </w:r>
          </w:p>
        </w:tc>
      </w:tr>
      <w:tr w:rsidR="002766E2" w14:paraId="39F71E50" w14:textId="77777777">
        <w:trPr>
          <w:jc w:val="center"/>
        </w:trPr>
        <w:tc>
          <w:tcPr>
            <w:tcW w:w="2448" w:type="dxa"/>
          </w:tcPr>
          <w:p w14:paraId="26BB9830" w14:textId="77777777" w:rsidR="002766E2" w:rsidRDefault="00000000">
            <w:pPr>
              <w:spacing w:after="0"/>
            </w:pPr>
            <w:r>
              <w:rPr>
                <w:sz w:val="17"/>
              </w:rPr>
              <w:t>Limitations</w:t>
            </w:r>
          </w:p>
        </w:tc>
        <w:tc>
          <w:tcPr>
            <w:tcW w:w="7488" w:type="dxa"/>
          </w:tcPr>
          <w:p w14:paraId="05CA38F1" w14:textId="77777777" w:rsidR="002766E2" w:rsidRDefault="00000000">
            <w:pPr>
              <w:spacing w:after="0"/>
            </w:pPr>
            <w:r>
              <w:rPr>
                <w:sz w:val="17"/>
              </w:rPr>
              <w:t>More labour-intensive and costly than capsules; may soften or melt in hot weather; taste and mouthfeel can affect adherence; direct troche-specific PK evidence is limited.</w:t>
            </w:r>
          </w:p>
        </w:tc>
      </w:tr>
      <w:tr w:rsidR="002766E2" w14:paraId="5D32B3BD" w14:textId="77777777">
        <w:trPr>
          <w:jc w:val="center"/>
        </w:trPr>
        <w:tc>
          <w:tcPr>
            <w:tcW w:w="2448" w:type="dxa"/>
          </w:tcPr>
          <w:p w14:paraId="5852B5B5" w14:textId="77777777" w:rsidR="002766E2" w:rsidRDefault="00000000">
            <w:pPr>
              <w:spacing w:after="0"/>
            </w:pPr>
            <w:r>
              <w:rPr>
                <w:sz w:val="17"/>
              </w:rPr>
              <w:t>Website wording</w:t>
            </w:r>
          </w:p>
        </w:tc>
        <w:tc>
          <w:tcPr>
            <w:tcW w:w="7488" w:type="dxa"/>
          </w:tcPr>
          <w:p w14:paraId="7811C801" w14:textId="77777777" w:rsidR="002766E2" w:rsidRDefault="00000000">
            <w:pPr>
              <w:spacing w:after="0"/>
            </w:pPr>
            <w:r>
              <w:rPr>
                <w:sz w:val="17"/>
              </w:rPr>
              <w:t>“Troches may be considered where a prescriber wants a dissolvable dosage form or where swallowing is difficult. The choice of dosage form should be individualised.”</w:t>
            </w:r>
          </w:p>
        </w:tc>
      </w:tr>
    </w:tbl>
    <w:p w14:paraId="7D2650B8" w14:textId="77777777" w:rsidR="002766E2" w:rsidRDefault="00000000">
      <w:pPr>
        <w:pStyle w:val="Heading1"/>
      </w:pPr>
      <w:r>
        <w:t>Safety and monitoring points</w:t>
      </w:r>
    </w:p>
    <w:p w14:paraId="41F394BC" w14:textId="77777777" w:rsidR="002766E2" w:rsidRDefault="00000000">
      <w:pPr>
        <w:pStyle w:val="ListBullet"/>
        <w:spacing w:after="40"/>
      </w:pPr>
      <w:r>
        <w:t>Avoid positioning melatonin as a first-line substitute for behavioural sleep strategies; behavioural interventions should continue during treatment where relevant.</w:t>
      </w:r>
    </w:p>
    <w:p w14:paraId="389DCDBC" w14:textId="77777777" w:rsidR="002766E2" w:rsidRDefault="00000000">
      <w:pPr>
        <w:pStyle w:val="ListBullet"/>
        <w:spacing w:after="40"/>
      </w:pPr>
      <w:r>
        <w:t>Monitor response, morning sedation, mood/behavioural change, headache, dizziness, vivid dreams and daytime function.</w:t>
      </w:r>
    </w:p>
    <w:p w14:paraId="18EA6C2F" w14:textId="77777777" w:rsidR="002766E2" w:rsidRDefault="00000000">
      <w:pPr>
        <w:pStyle w:val="ListBullet"/>
        <w:spacing w:after="40"/>
      </w:pPr>
      <w:r>
        <w:t>Caution with concurrent sedatives, hypnotics, alcohol, fluvoxamine/CYP1A2 inhibitors, oestrogens, cimetidine, quinolones, carbamazepine, rifampicin and smoking status where clinically relevant.</w:t>
      </w:r>
    </w:p>
    <w:p w14:paraId="7444F41A" w14:textId="77777777" w:rsidR="002766E2" w:rsidRDefault="00000000">
      <w:pPr>
        <w:pStyle w:val="ListBullet"/>
        <w:spacing w:after="40"/>
      </w:pPr>
      <w:r>
        <w:t>Review ongoing need. For paediatric prolonged-release melatonin in ASD/SMS, the Australian PI recommends regular review at least every 6 months and considering discontinuation if there is no clinically relevant effect after at least 3 months.</w:t>
      </w:r>
    </w:p>
    <w:p w14:paraId="14559005" w14:textId="77777777" w:rsidR="002766E2" w:rsidRDefault="00000000">
      <w:pPr>
        <w:pStyle w:val="ListBullet"/>
        <w:spacing w:after="40"/>
      </w:pPr>
      <w:r>
        <w:t>Unregistered imported melatonin products can have significant dose inconsistency and may not meet Australian standards for safety, quality and efficacy.</w:t>
      </w:r>
    </w:p>
    <w:p w14:paraId="3182CBFC" w14:textId="77777777" w:rsidR="002766E2" w:rsidRDefault="00000000">
      <w:pPr>
        <w:pStyle w:val="Heading1"/>
      </w:pPr>
      <w:r>
        <w:t>Suggested prescription details</w:t>
      </w:r>
    </w:p>
    <w:p w14:paraId="01D856EC" w14:textId="77777777" w:rsidR="002766E2" w:rsidRDefault="00000000">
      <w:pPr>
        <w:pStyle w:val="ListBullet"/>
        <w:spacing w:after="40"/>
      </w:pPr>
      <w:r>
        <w:t>Patient name, age and weight where paediatric dosing is relevant.</w:t>
      </w:r>
    </w:p>
    <w:p w14:paraId="638B3D13" w14:textId="77777777" w:rsidR="002766E2" w:rsidRDefault="00000000">
      <w:pPr>
        <w:pStyle w:val="ListBullet"/>
        <w:spacing w:after="40"/>
      </w:pPr>
      <w:r>
        <w:t>Formulation required: oral liquid, immediate-release capsule, slow-release capsule, or troche.</w:t>
      </w:r>
    </w:p>
    <w:p w14:paraId="6FB2FB96" w14:textId="77777777" w:rsidR="002766E2" w:rsidRDefault="00000000">
      <w:pPr>
        <w:pStyle w:val="ListBullet"/>
        <w:spacing w:after="40"/>
      </w:pPr>
      <w:r>
        <w:t>Strength and dose: e.g. “Melatonin oral liquid 2 mg/mL - give 1 mL nocte 30-60 minutes before bedtime”.</w:t>
      </w:r>
    </w:p>
    <w:p w14:paraId="406A99BC" w14:textId="77777777" w:rsidR="002766E2" w:rsidRDefault="00000000">
      <w:pPr>
        <w:pStyle w:val="ListBullet"/>
        <w:spacing w:after="40"/>
      </w:pPr>
      <w:r>
        <w:t>Quantity, repeats, intended duration and review date.</w:t>
      </w:r>
    </w:p>
    <w:p w14:paraId="54989F08" w14:textId="77777777" w:rsidR="002766E2" w:rsidRDefault="00000000">
      <w:pPr>
        <w:pStyle w:val="ListBullet"/>
        <w:spacing w:after="40"/>
      </w:pPr>
      <w:r>
        <w:t>Special instructions: timing relative to bedtime, storage, refrigeration if applicable, and “do not dose again overnight if a dose is missed” where appropriate.</w:t>
      </w:r>
    </w:p>
    <w:p w14:paraId="7E19D8A9" w14:textId="77777777" w:rsidR="002766E2" w:rsidRDefault="00000000">
      <w:pPr>
        <w:pStyle w:val="Heading1"/>
      </w:pPr>
      <w:r>
        <w:lastRenderedPageBreak/>
        <w:t>Short website intro copy</w:t>
      </w:r>
    </w:p>
    <w:p w14:paraId="4099B4AB" w14:textId="77777777" w:rsidR="002766E2" w:rsidRDefault="00000000">
      <w:r>
        <w:rPr>
          <w:b/>
        </w:rPr>
        <w:t xml:space="preserve">For doctors and prescribers: </w:t>
      </w:r>
      <w:r>
        <w:t>Heywood Compounding can prepare customised melatonin formulations when a commercially available product is not suitable for the patient’s dose, formulation, swallowing ability or titration requirements. Options may include oral liquid, immediate-release capsules, slow-release capsules and troches, prepared according to the prescriber’s directions. Please contact us to discuss formulation suitability, quantity, beyond-use date and practical counselling points before prescribing.</w:t>
      </w:r>
    </w:p>
    <w:p w14:paraId="63B4E5E7" w14:textId="77777777" w:rsidR="002766E2" w:rsidRDefault="00000000">
      <w:pPr>
        <w:pStyle w:val="Heading1"/>
      </w:pPr>
      <w:r>
        <w:t>References and source notes</w:t>
      </w:r>
    </w:p>
    <w:p w14:paraId="2DE4AA55" w14:textId="77777777" w:rsidR="002766E2" w:rsidRDefault="00000000">
      <w:pPr>
        <w:pStyle w:val="SmallNote"/>
      </w:pPr>
      <w:r>
        <w:t xml:space="preserve">1. Therapeutic Goods Administration. Australian Product Information - Slenyto prolonged-release tablets (melatonin). Indication and dosing for insomnia in children/adolescents aged 2-18 with ASD and/or Smith-Magenis syndrome where sleep hygiene measures are insufficient. </w:t>
      </w:r>
      <w:hyperlink r:id="rId8">
        <w:r w:rsidR="002766E2">
          <w:rPr>
            <w:color w:val="0563C1"/>
            <w:u w:val="single"/>
          </w:rPr>
          <w:t>https://www.tga.gov.au/sites/default/files/auspar-melatonin-201027-pi.pdf</w:t>
        </w:r>
      </w:hyperlink>
    </w:p>
    <w:p w14:paraId="3867496F" w14:textId="77777777" w:rsidR="002766E2" w:rsidRDefault="00000000">
      <w:pPr>
        <w:pStyle w:val="SmallNote"/>
      </w:pPr>
      <w:r>
        <w:t xml:space="preserve">2. Therapeutic Goods Administration. Regulation of melatonin products in Australia. Published 26 September 2025. </w:t>
      </w:r>
      <w:hyperlink r:id="rId9">
        <w:r w:rsidR="002766E2">
          <w:rPr>
            <w:color w:val="0563C1"/>
            <w:u w:val="single"/>
          </w:rPr>
          <w:t>https://www.tga.gov.au/news/news-articles/regulation-melatonin-products-australia</w:t>
        </w:r>
      </w:hyperlink>
    </w:p>
    <w:p w14:paraId="6D78F6E5" w14:textId="77777777" w:rsidR="002766E2" w:rsidRDefault="00000000">
      <w:pPr>
        <w:pStyle w:val="SmallNote"/>
      </w:pPr>
      <w:r>
        <w:t xml:space="preserve">3. Shenoy P, et al. Melatonin Use in Pediatrics: A Clinical Review on Indications, Multisystem Effects, and Toxicity. Children. 2024;11(3):323. </w:t>
      </w:r>
      <w:hyperlink r:id="rId10">
        <w:r w:rsidR="002766E2">
          <w:rPr>
            <w:color w:val="0563C1"/>
            <w:u w:val="single"/>
          </w:rPr>
          <w:t>https://pmc.ncbi.nlm.nih.gov/articles/PMC10968776/</w:t>
        </w:r>
      </w:hyperlink>
    </w:p>
    <w:p w14:paraId="54A4ABA5" w14:textId="77777777" w:rsidR="002766E2" w:rsidRDefault="00000000">
      <w:pPr>
        <w:pStyle w:val="SmallNote"/>
      </w:pPr>
      <w:r>
        <w:t xml:space="preserve">4. Di WL, Kadva A, Johnston A, Silman R. Variable Bioavailability of Oral Melatonin. New England Journal of Medicine. </w:t>
      </w:r>
      <w:proofErr w:type="gramStart"/>
      <w:r>
        <w:t>1997;336:1028</w:t>
      </w:r>
      <w:proofErr w:type="gramEnd"/>
      <w:r>
        <w:t xml:space="preserve">-1029. </w:t>
      </w:r>
      <w:hyperlink r:id="rId11">
        <w:r w:rsidR="002766E2">
          <w:rPr>
            <w:color w:val="0563C1"/>
            <w:u w:val="single"/>
          </w:rPr>
          <w:t>https://www.nejm.org/doi/full/10.1056/NEJM199704033361418</w:t>
        </w:r>
      </w:hyperlink>
    </w:p>
    <w:p w14:paraId="4C59CDE7" w14:textId="77777777" w:rsidR="002766E2" w:rsidRDefault="00000000">
      <w:pPr>
        <w:pStyle w:val="SmallNote"/>
      </w:pPr>
      <w:r>
        <w:t xml:space="preserve">5. Ait Abdellah S, et al. Bioavailability of Melatonin after Administration of an Oral Prolonged-Release Tablet and an Immediate-Release Sublingual Spray in Healthy Male Volunteers. Pharmaceutics/Clinical Drug Investigation via PMC. 2023. </w:t>
      </w:r>
      <w:hyperlink r:id="rId12">
        <w:r w:rsidR="002766E2">
          <w:rPr>
            <w:color w:val="0563C1"/>
            <w:u w:val="single"/>
          </w:rPr>
          <w:t>https://pmc.ncbi.nlm.nih.gov/articles/PMC10439092/</w:t>
        </w:r>
      </w:hyperlink>
    </w:p>
    <w:p w14:paraId="2C3D0583" w14:textId="77777777" w:rsidR="002766E2" w:rsidRDefault="00000000">
      <w:pPr>
        <w:pStyle w:val="SmallNote"/>
      </w:pPr>
      <w:r>
        <w:t xml:space="preserve">6. European Medicines Agency. Circadin 2 mg prolonged-release tablets - product information. </w:t>
      </w:r>
      <w:hyperlink r:id="rId13">
        <w:r w:rsidR="002766E2">
          <w:rPr>
            <w:color w:val="0563C1"/>
            <w:u w:val="single"/>
          </w:rPr>
          <w:t>https://www.ema.europa.eu/en/documents/product-information/circadin-epar-product-information_en.pdf</w:t>
        </w:r>
      </w:hyperlink>
    </w:p>
    <w:p w14:paraId="3C095053" w14:textId="77777777" w:rsidR="002766E2" w:rsidRDefault="002766E2"/>
    <w:tbl>
      <w:tblPr>
        <w:tblStyle w:val="TableGrid"/>
        <w:tblW w:w="0" w:type="auto"/>
        <w:tblLook w:val="04A0" w:firstRow="1" w:lastRow="0" w:firstColumn="1" w:lastColumn="0" w:noHBand="0" w:noVBand="1"/>
      </w:tblPr>
      <w:tblGrid>
        <w:gridCol w:w="10224"/>
      </w:tblGrid>
      <w:tr w:rsidR="002766E2" w14:paraId="68EE478E" w14:textId="77777777">
        <w:tc>
          <w:tcPr>
            <w:tcW w:w="10224" w:type="dxa"/>
            <w:shd w:val="clear" w:color="auto" w:fill="F2F2F2"/>
          </w:tcPr>
          <w:p w14:paraId="4C5B62E8" w14:textId="77777777" w:rsidR="002766E2" w:rsidRDefault="00000000">
            <w:pPr>
              <w:spacing w:after="0"/>
            </w:pPr>
            <w:r>
              <w:rPr>
                <w:sz w:val="17"/>
              </w:rPr>
              <w:t>Disclaimer: This document is provided for healthcare professional discussion only. It does not replace independent clinical judgement, local prescribing requirements, product information, or specialist advice. Final prescribing decisions, dose selection, monitoring and review remain the responsibility of the treating prescriber.</w:t>
            </w:r>
          </w:p>
        </w:tc>
      </w:tr>
    </w:tbl>
    <w:p w14:paraId="183BF44C" w14:textId="77777777" w:rsidR="00407C45" w:rsidRDefault="00407C45"/>
    <w:p w14:paraId="48AA3798" w14:textId="77777777" w:rsidR="00E307E9" w:rsidRDefault="00E307E9"/>
    <w:sectPr w:rsidR="00E307E9" w:rsidSect="00034616">
      <w:headerReference w:type="default" r:id="rId14"/>
      <w:footerReference w:type="default" r:id="rId15"/>
      <w:pgSz w:w="12240" w:h="15840"/>
      <w:pgMar w:top="792" w:right="1008" w:bottom="79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CD428" w14:textId="77777777" w:rsidR="001773B8" w:rsidRDefault="001773B8">
      <w:pPr>
        <w:spacing w:after="0" w:line="240" w:lineRule="auto"/>
      </w:pPr>
      <w:r>
        <w:separator/>
      </w:r>
    </w:p>
  </w:endnote>
  <w:endnote w:type="continuationSeparator" w:id="0">
    <w:p w14:paraId="58C09DE0" w14:textId="77777777" w:rsidR="001773B8" w:rsidRDefault="0017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540AF" w14:textId="77777777" w:rsidR="002766E2" w:rsidRDefault="00000000">
    <w:pPr>
      <w:pStyle w:val="Footer"/>
      <w:jc w:val="center"/>
    </w:pPr>
    <w:r>
      <w:rPr>
        <w:color w:val="646464"/>
        <w:sz w:val="16"/>
      </w:rPr>
      <w:t>Prepared for clinician reference. Not intended as patient-facing medical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C7977" w14:textId="77777777" w:rsidR="001773B8" w:rsidRDefault="001773B8">
      <w:pPr>
        <w:spacing w:after="0" w:line="240" w:lineRule="auto"/>
      </w:pPr>
      <w:r>
        <w:separator/>
      </w:r>
    </w:p>
  </w:footnote>
  <w:footnote w:type="continuationSeparator" w:id="0">
    <w:p w14:paraId="40D23425" w14:textId="77777777" w:rsidR="001773B8" w:rsidRDefault="00177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A3C31" w14:textId="77777777" w:rsidR="002766E2" w:rsidRDefault="00000000">
    <w:pPr>
      <w:pStyle w:val="Header"/>
      <w:jc w:val="right"/>
    </w:pPr>
    <w:r>
      <w:rPr>
        <w:color w:val="646464"/>
        <w:sz w:val="16"/>
      </w:rPr>
      <w:t>Healthcare professional information - melatonin compounding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909354">
    <w:abstractNumId w:val="8"/>
  </w:num>
  <w:num w:numId="2" w16cid:durableId="273678616">
    <w:abstractNumId w:val="6"/>
  </w:num>
  <w:num w:numId="3" w16cid:durableId="1596086470">
    <w:abstractNumId w:val="5"/>
  </w:num>
  <w:num w:numId="4" w16cid:durableId="2143384757">
    <w:abstractNumId w:val="4"/>
  </w:num>
  <w:num w:numId="5" w16cid:durableId="381714250">
    <w:abstractNumId w:val="7"/>
  </w:num>
  <w:num w:numId="6" w16cid:durableId="1430665079">
    <w:abstractNumId w:val="3"/>
  </w:num>
  <w:num w:numId="7" w16cid:durableId="1259480930">
    <w:abstractNumId w:val="2"/>
  </w:num>
  <w:num w:numId="8" w16cid:durableId="1285691675">
    <w:abstractNumId w:val="1"/>
  </w:num>
  <w:num w:numId="9" w16cid:durableId="180061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46FA"/>
    <w:rsid w:val="0006063C"/>
    <w:rsid w:val="0015074B"/>
    <w:rsid w:val="001773B8"/>
    <w:rsid w:val="002766E2"/>
    <w:rsid w:val="0029639D"/>
    <w:rsid w:val="00326F90"/>
    <w:rsid w:val="00407C45"/>
    <w:rsid w:val="00AA1D8D"/>
    <w:rsid w:val="00B47730"/>
    <w:rsid w:val="00C631B6"/>
    <w:rsid w:val="00CB0664"/>
    <w:rsid w:val="00CD268A"/>
    <w:rsid w:val="00E307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99215"/>
  <w14:defaultImageDpi w14:val="300"/>
  <w15:docId w15:val="{05B2630B-2D0A-45DD-AE83-EC28FA37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40"/>
    </w:pPr>
    <w:rPr>
      <w:rFonts w:ascii="Aptos" w:eastAsia="Aptos" w:hAnsi="Aptos"/>
      <w:color w:val="50505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sites/default/files/auspar-melatonin-201027-pi.pdf" TargetMode="External"/><Relationship Id="rId13" Type="http://schemas.openxmlformats.org/officeDocument/2006/relationships/hyperlink" Target="https://www.ema.europa.eu/en/documents/product-information/circadin-epar-product-information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mc.ncbi.nlm.nih.gov/articles/PMC104390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jm.org/doi/full/10.1056/NEJM1997040333614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mc.ncbi.nlm.nih.gov/articles/PMC10968776/" TargetMode="External"/><Relationship Id="rId4" Type="http://schemas.openxmlformats.org/officeDocument/2006/relationships/settings" Target="settings.xml"/><Relationship Id="rId9" Type="http://schemas.openxmlformats.org/officeDocument/2006/relationships/hyperlink" Target="https://www.tga.gov.au/news/news-articles/regulation-melatonin-products-australi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Melatonin Compounding Options - Prescriber Information</dc:title>
  <dc:subject>Healthcare professional information</dc:subject>
  <dc:creator>Heywood Compounding</dc:creator>
  <cp:keywords>melatonin, compounding, prescriber information</cp:keywords>
  <dc:description/>
  <cp:lastModifiedBy>Jeremy Chan</cp:lastModifiedBy>
  <cp:revision>3</cp:revision>
  <dcterms:created xsi:type="dcterms:W3CDTF">2013-12-23T23:15:00Z</dcterms:created>
  <dcterms:modified xsi:type="dcterms:W3CDTF">2026-06-11T08:48:00Z</dcterms:modified>
  <cp:category/>
</cp:coreProperties>
</file>